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bookmarkStart w:id="0" w:name="Par118"/>
      <w:r>
        <w:rPr>
          <w:rFonts w:ascii="Times New Roman" w:hAnsi="Times New Roman" w:cs="Times New Roman"/>
          <w:sz w:val="24"/>
          <w:szCs w:val="24"/>
        </w:rPr>
      </w:r>
      <w:bookmarkEnd w:id="0"/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 xml:space="preserve">Отчет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 xml:space="preserve">об 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 xml:space="preserve">оценке фактического </w:t>
      </w: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  <w:t xml:space="preserve">воздействия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Calibri" w:cs="Times New Roman"/>
          <w:b/>
          <w:bCs/>
          <w:sz w:val="24"/>
          <w:szCs w:val="24"/>
          <w:lang w:eastAsia="en-US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 Общая информация: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1.1. Наименование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нормативного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правового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акта: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п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остановлени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е Правительства Белгородской области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от 26 декабря 2022 года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br/>
        <w:t xml:space="preserve">№ 805-пп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 «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О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б утверждении порядка предоставления иных межбюджетных трансфертов из федерального бюджета и средств областного бюджета на реализацию регионального проекта, обеспечивающего достижение целей, показателей и результатов федерального проекта «Содействие занят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ости» национального проекта «Демография» по реализации дополнительных мероприятий, направленных на снижение напряженности на рынке труда Белгородской области, по финансовому обеспечению (возмещению) затрат работодателей на организацию профессионального обу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чения и дополнительного профессионального образования 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работников предприятий оборонно-промышленного комплекса, а также граждан, обратившихся в органы службы занятости за содействием в поиске подходящей работы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 и заключивших ученический договор с предприятия</w:t>
      </w:r>
      <w:r>
        <w:rPr>
          <w:rFonts w:ascii="Times New Roman" w:hAnsi="Times New Roman" w:eastAsia="PT Astra Serif" w:cs="Times New Roman"/>
          <w:color w:val="000000"/>
          <w:sz w:val="24"/>
          <w:szCs w:val="24"/>
          <w:u w:val="single"/>
        </w:rPr>
        <w:t xml:space="preserve">ми оборонно-промышленного комплекса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»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1.2. Реквизиты и источники официального опубликования нормативного правового акта и сведения о вносившихся в нормативный правовой акт изменениях (при наличии) </w:t>
        <w:br/>
        <w:t xml:space="preserve">(в том числе вид, дата, номер, наименование, редакция, источник </w:t>
      </w:r>
      <w:r>
        <w:rPr>
          <w:rFonts w:ascii="Times New Roman" w:hAnsi="Times New Roman" w:cs="Times New Roman"/>
          <w:sz w:val="24"/>
          <w:szCs w:val="24"/>
        </w:rPr>
        <w:t xml:space="preserve">опубликования</w:t>
      </w:r>
      <w:r>
        <w:rPr>
          <w:rFonts w:ascii="Times New Roman" w:hAnsi="Times New Roman" w:cs="Times New Roman"/>
          <w:sz w:val="24"/>
          <w:szCs w:val="24"/>
        </w:rPr>
        <w:t xml:space="preserve">):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eastAsia="PT Serif" w:cs="Times New Roman"/>
          <w:color w:val="22272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- п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остановлени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е Правительства Белгородской области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от 26 декабря 2022 года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br/>
        <w:t xml:space="preserve">№ 805-пп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 xml:space="preserve">на официальном интернет-портале правовой информации </w:t>
      </w:r>
      <w:hyperlink r:id="rId12" w:tooltip="&lt;div class=&quot;doc www&quot;&gt;&lt;span class=&quot;aligner&quot;&gt;&lt;div class=&quot;icon listDocWWW-16&quot;&gt;&lt;/div&gt;&lt;/span&gt;http://pravo.gov.ru&lt;/div&gt;" w:history="1">
        <w:r>
          <w:rPr>
            <w:rStyle w:val="851"/>
            <w:rFonts w:ascii="Times New Roman" w:hAnsi="Times New Roman" w:eastAsia="Times New Roman" w:cs="Times New Roman"/>
            <w:color w:val="0000ff"/>
            <w:sz w:val="24"/>
            <w:szCs w:val="24"/>
            <w:u w:val="single"/>
          </w:rPr>
          <w:t xml:space="preserve">http://pravo.gov.ru</w:t>
        </w:r>
      </w:hyperlink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 xml:space="preserve">, </w:t>
        <w:br/>
        <w:t xml:space="preserve">30.12.2022 г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pPr>
      <w:r>
        <w:rPr>
          <w:rFonts w:ascii="Times New Roman" w:hAnsi="Times New Roman" w:eastAsia="PT Serif" w:cs="Times New Roman"/>
          <w:color w:val="22272f"/>
          <w:sz w:val="24"/>
          <w:szCs w:val="24"/>
        </w:rPr>
        <w:t xml:space="preserve">- 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</w:rPr>
        <w:t xml:space="preserve">постановление Правительства Белгородской области от 29 мая 2023 г. № 295-пп</w:t>
        <w:br/>
        <w:t xml:space="preserve">«О внесении изменений в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постановление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Правительства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Белгородской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области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от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26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декабря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2022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 года № 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805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-</w:t>
      </w:r>
      <w:r>
        <w:rPr>
          <w:rFonts w:ascii="Times New Roman" w:hAnsi="Times New Roman" w:eastAsia="PT Serif" w:cs="Times New Roman"/>
          <w:color w:val="000000" w:themeColor="text1"/>
          <w:sz w:val="24"/>
          <w:szCs w:val="24"/>
          <w:highlight w:val="none"/>
        </w:rPr>
        <w:t xml:space="preserve">пп</w:t>
      </w:r>
      <w:r>
        <w:rPr>
          <w:color w:val="000000" w:themeColor="text1"/>
          <w:highlight w:val="none"/>
        </w:rPr>
        <w:t xml:space="preserve">» </w:t>
      </w:r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single"/>
        </w:rPr>
        <w:t xml:space="preserve">на официальном интернет-портале правовой информации </w:t>
      </w:r>
      <w:hyperlink r:id="rId13" w:tooltip="&lt;div class=&quot;doc www&quot;&gt;&lt;span class=&quot;aligner&quot;&gt;&lt;div class=&quot;icon listDocWWW-16&quot;&gt;&lt;/div&gt;&lt;/span&gt;http://pravo.gov.ru&lt;/div&gt;" w:history="1">
        <w:r>
          <w:rPr>
            <w:rStyle w:val="851"/>
            <w:rFonts w:ascii="Times New Roman" w:hAnsi="Times New Roman" w:eastAsia="Times New Roman" w:cs="Times New Roman"/>
            <w:color w:val="000000" w:themeColor="text1"/>
            <w:sz w:val="24"/>
            <w:szCs w:val="24"/>
            <w:highlight w:val="none"/>
            <w:u w:val="single"/>
          </w:rPr>
          <w:t xml:space="preserve">http://pravo.gov.ru</w:t>
        </w:r>
      </w:hyperlink>
      <w:r>
        <w:rPr>
          <w:rFonts w:ascii="Times New Roman" w:hAnsi="Times New Roman" w:eastAsia="Times New Roman" w:cs="Times New Roman"/>
          <w:color w:val="000000" w:themeColor="text1"/>
          <w:sz w:val="24"/>
          <w:szCs w:val="24"/>
          <w:highlight w:val="none"/>
          <w:u w:val="single"/>
        </w:rPr>
        <w:t xml:space="preserve"> - 02.06.2023 г.</w:t>
      </w:r>
      <w:r>
        <w:rPr>
          <w:rFonts w:ascii="Times New Roman" w:hAnsi="Times New Roman" w:cs="Times New Roman"/>
          <w:color w:val="000000" w:themeColor="text1"/>
          <w:sz w:val="24"/>
          <w:szCs w:val="24"/>
          <w:highlight w:val="none"/>
        </w:rPr>
      </w:r>
      <w:r/>
    </w:p>
    <w:p>
      <w:pPr>
        <w:ind w:left="0" w:right="0" w:firstLine="720"/>
        <w:jc w:val="both"/>
        <w:spacing w:before="0" w:after="0" w:line="288" w:lineRule="atLeast"/>
        <w:rPr>
          <w:rFonts w:ascii="Times New Roman" w:hAnsi="Times New Roman" w:cs="Times New Roman"/>
          <w:sz w:val="24"/>
          <w:szCs w:val="24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  <w:suppressLineNumbers w:val="0"/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  <w:t xml:space="preserve">1.3. Дата вступления в силу акта и его отдельных положений: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Times New Roman" w:cs="Times New Roman"/>
          <w:color w:val="000000"/>
          <w:sz w:val="24"/>
          <w:szCs w:val="24"/>
          <w:u w:val="single"/>
        </w:rPr>
        <w:t xml:space="preserve">02.06.2023</w:t>
      </w:r>
      <w:r>
        <w:rPr>
          <w:rFonts w:ascii="Times New Roman" w:hAnsi="Times New Roman" w:eastAsia="Times New Roman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Сроки проведения публичного обсуждения нормативного правового акта: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начало: «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15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»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октября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20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26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г.;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окончание «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12»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ноября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20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26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5</w:t>
      </w:r>
      <w:r>
        <w:rPr>
          <w:rFonts w:ascii="Times New Roman" w:hAnsi="Times New Roman" w:cs="Times New Roman"/>
          <w:sz w:val="24"/>
          <w:szCs w:val="24"/>
        </w:rPr>
        <w:t xml:space="preserve">. 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сполнительной </w:t>
      </w:r>
      <w:r>
        <w:rPr>
          <w:rFonts w:ascii="Times New Roman" w:hAnsi="Times New Roman" w:cs="Times New Roman"/>
          <w:sz w:val="24"/>
          <w:szCs w:val="24"/>
        </w:rPr>
        <w:t xml:space="preserve">орган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Белгородской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составитель отчета </w:t>
      </w:r>
      <w:r>
        <w:rPr>
          <w:rFonts w:ascii="Times New Roman" w:hAnsi="Times New Roman" w:cs="Times New Roman"/>
          <w:sz w:val="24"/>
          <w:szCs w:val="24"/>
        </w:rPr>
        <w:br/>
      </w:r>
      <w:r>
        <w:rPr>
          <w:rFonts w:ascii="Times New Roman" w:hAnsi="Times New Roman" w:cs="Times New Roman"/>
          <w:sz w:val="24"/>
          <w:szCs w:val="24"/>
        </w:rPr>
        <w:t xml:space="preserve">об оценке фактического воздействия</w:t>
      </w:r>
      <w:r>
        <w:rPr>
          <w:rFonts w:ascii="Times New Roman" w:hAnsi="Times New Roman" w:cs="Times New Roman"/>
          <w:sz w:val="24"/>
          <w:szCs w:val="24"/>
        </w:rPr>
        <w:t xml:space="preserve"> (орган – разработчик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министерство социальной защиты населения и труда Белгородской области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6</w:t>
      </w:r>
      <w:r>
        <w:rPr>
          <w:rFonts w:ascii="Times New Roman" w:hAnsi="Times New Roman" w:cs="Times New Roman"/>
          <w:sz w:val="24"/>
          <w:szCs w:val="24"/>
        </w:rPr>
        <w:t xml:space="preserve">. Контактная информация об исполнителе в органе-разработчике: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Ф.И.О.: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Путивская Ирина Сергеевна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Должность: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заместитель начальника отдела по профессиональной подготовке </w:t>
        <w:br/>
        <w:t xml:space="preserve">и кадровому обеспечению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департамента труда и занятости министерства социальной защиты населения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 и труда Белгородской области.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Тел.: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(4722) 32-69-94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Адрес электронной почты: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putivskaya_is@belgov.ru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bookmarkStart w:id="1" w:name="_Hlk125630251"/>
      <w:r>
        <w:rPr>
          <w:rFonts w:ascii="Times New Roman" w:hAnsi="Times New Roman" w:cs="Times New Roman"/>
          <w:bCs/>
          <w:sz w:val="24"/>
          <w:szCs w:val="24"/>
        </w:rPr>
        <w:t xml:space="preserve">2</w:t>
      </w:r>
      <w:r>
        <w:rPr>
          <w:rFonts w:ascii="Times New Roman" w:hAnsi="Times New Roman" w:cs="Times New Roman"/>
          <w:bCs/>
          <w:sz w:val="24"/>
          <w:szCs w:val="24"/>
        </w:rPr>
        <w:t xml:space="preserve">. </w:t>
      </w:r>
      <w:r>
        <w:rPr>
          <w:rFonts w:ascii="Times New Roman" w:hAnsi="Times New Roman" w:cs="Times New Roman"/>
          <w:bCs/>
          <w:sz w:val="24"/>
          <w:szCs w:val="24"/>
        </w:rPr>
        <w:t xml:space="preserve">Результаты п</w:t>
      </w:r>
      <w:r>
        <w:rPr>
          <w:rFonts w:ascii="Times New Roman" w:hAnsi="Times New Roman" w:cs="Times New Roman"/>
          <w:bCs/>
          <w:sz w:val="24"/>
          <w:szCs w:val="24"/>
        </w:rPr>
        <w:t xml:space="preserve">роведени</w:t>
      </w:r>
      <w:r>
        <w:rPr>
          <w:rFonts w:ascii="Times New Roman" w:hAnsi="Times New Roman" w:cs="Times New Roman"/>
          <w:bCs/>
          <w:sz w:val="24"/>
          <w:szCs w:val="24"/>
        </w:rPr>
        <w:t xml:space="preserve">я</w:t>
      </w:r>
      <w:r>
        <w:rPr>
          <w:rFonts w:ascii="Times New Roman" w:hAnsi="Times New Roman" w:cs="Times New Roman"/>
          <w:bCs/>
          <w:sz w:val="24"/>
          <w:szCs w:val="24"/>
        </w:rPr>
        <w:t xml:space="preserve"> оценки регулирующего воздействия </w:t>
      </w:r>
      <w:r>
        <w:rPr>
          <w:rFonts w:ascii="Times New Roman" w:hAnsi="Times New Roman" w:cs="Times New Roman"/>
          <w:bCs/>
          <w:sz w:val="24"/>
          <w:szCs w:val="24"/>
        </w:rPr>
        <w:t xml:space="preserve">в отношении проекта акта</w:t>
      </w:r>
      <w:r>
        <w:rPr>
          <w:rFonts w:ascii="Times New Roman" w:hAnsi="Times New Roman" w:cs="Times New Roman"/>
          <w:bCs/>
          <w:sz w:val="24"/>
          <w:szCs w:val="24"/>
        </w:rPr>
        <w:t xml:space="preserve"> (при наличии)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.1. </w:t>
      </w:r>
      <w:r>
        <w:rPr>
          <w:rFonts w:ascii="Times New Roman" w:hAnsi="Times New Roman" w:cs="Times New Roman"/>
          <w:bCs/>
          <w:sz w:val="24"/>
          <w:szCs w:val="24"/>
        </w:rPr>
        <w:t xml:space="preserve">Сроки проведения публичного обсуждения проекта нормативного правового акта</w:t>
      </w:r>
      <w:r>
        <w:rPr>
          <w:rFonts w:ascii="Times New Roman" w:hAnsi="Times New Roman" w:cs="Times New Roman"/>
          <w:sz w:val="24"/>
          <w:szCs w:val="24"/>
        </w:rPr>
        <w:t xml:space="preserve">: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spacing w:after="0" w:line="240" w:lineRule="auto"/>
        <w:widowControl w:val="off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начало: «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03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»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апреля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20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23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г.;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eastAsia="PT Astra Serif" w:cs="Times New Roman"/>
          <w:sz w:val="24"/>
          <w:szCs w:val="24"/>
        </w:rPr>
        <w:t xml:space="preserve">окончание «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14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»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апреля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20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23</w:t>
      </w:r>
      <w:r>
        <w:rPr>
          <w:rFonts w:ascii="Times New Roman" w:hAnsi="Times New Roman" w:eastAsia="PT Astra Serif" w:cs="Times New Roman"/>
          <w:sz w:val="24"/>
          <w:szCs w:val="24"/>
        </w:rPr>
        <w:t xml:space="preserve"> г.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.2.</w:t>
      </w:r>
      <w:r>
        <w:rPr>
          <w:rFonts w:ascii="Times New Roman" w:hAnsi="Times New Roman" w:cs="Times New Roman"/>
          <w:sz w:val="24"/>
          <w:szCs w:val="24"/>
        </w:rPr>
        <w:t xml:space="preserve"> </w:t>
      </w:r>
      <w:r>
        <w:rPr>
          <w:rFonts w:ascii="Times New Roman" w:hAnsi="Times New Roman" w:cs="Times New Roman"/>
          <w:sz w:val="24"/>
          <w:szCs w:val="24"/>
        </w:rPr>
        <w:t xml:space="preserve">И</w:t>
      </w:r>
      <w:r>
        <w:rPr>
          <w:rFonts w:ascii="Times New Roman" w:hAnsi="Times New Roman" w:cs="Times New Roman"/>
          <w:sz w:val="24"/>
          <w:szCs w:val="24"/>
        </w:rPr>
        <w:t xml:space="preserve">сполнительн</w:t>
      </w:r>
      <w:r>
        <w:rPr>
          <w:rFonts w:ascii="Times New Roman" w:hAnsi="Times New Roman" w:cs="Times New Roman"/>
          <w:sz w:val="24"/>
          <w:szCs w:val="24"/>
        </w:rPr>
        <w:t xml:space="preserve">ый орган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Белгородской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составитель отчета об оценке регулирующего воздействия: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министерство социальной защиты населения и труда Белгородской области.</w:t>
      </w:r>
      <w:bookmarkEnd w:id="1"/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.3 Сведения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лицах,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представивших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предложения: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БРОО «ЦСИ «Вера»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Союз «Белгородская торгово-промышленная палата»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Уполномоченный по защите прав предпринимателей в Белгородской области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,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Общество с ограниченной ответственностью Завод «Краски КВИЛ».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.4. Сведения о структурных подразделениях </w:t>
      </w:r>
      <w:r>
        <w:rPr>
          <w:rFonts w:ascii="Times New Roman" w:hAnsi="Times New Roman" w:cs="Times New Roman"/>
          <w:sz w:val="24"/>
          <w:szCs w:val="24"/>
        </w:rPr>
        <w:t xml:space="preserve">органа-</w:t>
      </w:r>
      <w:r>
        <w:rPr>
          <w:rFonts w:ascii="Times New Roman" w:hAnsi="Times New Roman" w:cs="Times New Roman"/>
          <w:sz w:val="24"/>
          <w:szCs w:val="24"/>
        </w:rPr>
        <w:t xml:space="preserve">разработчика, рассмотревших представленные предложения: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отдел по профессиональной подготовке и кадровому обеспечению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департамента трудовых отношений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.5. Полный электронный адрес размещения документов по оценке регулирующего воздействия проекта нормативного правового акта: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на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инвестиционном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портале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Белгородской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области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(https://belgorodinvest.com/docs/otsenka-reguliruyushchego-vozdeystviya/#tab-197),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а также на сайте министерства экономического развития и промышленности области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(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https://minecprom.belregion.ru/documents?collection=34&amp;filter=publichnye-konsultacii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), сайте министерства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социальной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защиты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населения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труда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Белгородской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области</w:t>
      </w:r>
      <w:r>
        <w:t xml:space="preserve"> 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(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https://minsoc.belregion.ru/ocenka-reguliruyushego-vozdejstviya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).</w:t>
      </w:r>
      <w:r>
        <w:rPr>
          <w:rFonts w:ascii="Times New Roman" w:hAnsi="Times New Roman" w:cs="Times New Roman"/>
          <w:sz w:val="24"/>
          <w:szCs w:val="24"/>
          <w:highlight w:val="none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</w:t>
      </w:r>
      <w:r>
        <w:rPr>
          <w:rFonts w:ascii="Times New Roman" w:hAnsi="Times New Roman" w:cs="Times New Roman"/>
          <w:sz w:val="24"/>
          <w:szCs w:val="24"/>
        </w:rPr>
        <w:t xml:space="preserve">.6. Иные сведения о проведении публичного обсуждения проекта нормативного правового акта: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отсутствуют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  <w:highlight w:val="white"/>
        </w:rPr>
      </w:pPr>
      <w:r>
        <w:rPr>
          <w:rFonts w:ascii="Times New Roman" w:hAnsi="Times New Roman" w:cs="Times New Roman"/>
          <w:sz w:val="24"/>
          <w:szCs w:val="24"/>
          <w:highlight w:val="white"/>
        </w:rPr>
        <w:t xml:space="preserve">2</w:t>
      </w:r>
      <w:r>
        <w:rPr>
          <w:rFonts w:ascii="Times New Roman" w:hAnsi="Times New Roman" w:cs="Times New Roman"/>
          <w:sz w:val="24"/>
          <w:szCs w:val="24"/>
          <w:highlight w:val="white"/>
        </w:rPr>
        <w:t xml:space="preserve">.7. Дата и реквизиты заключения об оценке регулирующего воздействия проекта нормативного правового акта:</w:t>
      </w:r>
      <w:r>
        <w:rPr>
          <w:rFonts w:ascii="Times New Roman" w:hAnsi="Times New Roman" w:cs="Times New Roman"/>
          <w:sz w:val="24"/>
          <w:szCs w:val="24"/>
          <w:highlight w:val="none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от 28.04.2023 г. № 26-3-09/2147и</w:t>
      </w:r>
      <w:r>
        <w:rPr>
          <w:rFonts w:ascii="Times New Roman" w:hAnsi="Times New Roman" w:cs="Times New Roman"/>
          <w:sz w:val="24"/>
          <w:szCs w:val="24"/>
          <w:highlight w:val="white"/>
        </w:rPr>
      </w:r>
      <w:r/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3</w:t>
      </w:r>
      <w:r>
        <w:rPr>
          <w:rFonts w:ascii="Times New Roman" w:hAnsi="Times New Roman" w:cs="Times New Roman"/>
          <w:bCs/>
          <w:sz w:val="24"/>
          <w:szCs w:val="24"/>
        </w:rPr>
        <w:t xml:space="preserve">. Результаты проведения предыдущих оценок фактического воздействия нормативного правового акта (при наличии):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не проводились</w:t>
      </w:r>
      <w:r>
        <w:rPr>
          <w:rFonts w:ascii="Times New Roman" w:hAnsi="Times New Roman" w:cs="Times New Roman"/>
          <w:sz w:val="24"/>
          <w:szCs w:val="24"/>
          <w:u w:val="single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.1. Сроки проведения публичного обсуждения нормативного правового акта: 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bCs/>
          <w:sz w:val="24"/>
          <w:szCs w:val="24"/>
          <w:u w:val="single"/>
        </w:rPr>
        <w:t xml:space="preserve">не проводились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.2. </w:t>
      </w:r>
      <w:r>
        <w:rPr>
          <w:rFonts w:ascii="Times New Roman" w:hAnsi="Times New Roman" w:cs="Times New Roman"/>
          <w:sz w:val="24"/>
          <w:szCs w:val="24"/>
        </w:rPr>
        <w:t xml:space="preserve">Исполнительный орган </w:t>
      </w:r>
      <w:r>
        <w:rPr>
          <w:rFonts w:ascii="Times New Roman" w:hAnsi="Times New Roman" w:cs="Times New Roman"/>
          <w:sz w:val="24"/>
          <w:szCs w:val="24"/>
        </w:rPr>
        <w:t xml:space="preserve">Белгородской </w:t>
      </w:r>
      <w:r>
        <w:rPr>
          <w:rFonts w:ascii="Times New Roman" w:hAnsi="Times New Roman" w:cs="Times New Roman"/>
          <w:sz w:val="24"/>
          <w:szCs w:val="24"/>
        </w:rPr>
        <w:t xml:space="preserve">области </w:t>
      </w:r>
      <w:r>
        <w:rPr>
          <w:rFonts w:ascii="Times New Roman" w:hAnsi="Times New Roman" w:cs="Times New Roman"/>
          <w:sz w:val="24"/>
          <w:szCs w:val="24"/>
        </w:rPr>
        <w:t xml:space="preserve">–</w:t>
      </w:r>
      <w:r>
        <w:rPr>
          <w:rFonts w:ascii="Times New Roman" w:hAnsi="Times New Roman" w:cs="Times New Roman"/>
          <w:sz w:val="24"/>
          <w:szCs w:val="24"/>
        </w:rPr>
        <w:t xml:space="preserve"> составитель отчета об оценке фактического воздействия: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.3. Контактная информация об исполнителе в органе-разработчике: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.4. Дата и реквизиты заключения об оценке фактического воздействия нормативного правового акта: -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</w:t>
      </w:r>
      <w:r>
        <w:rPr>
          <w:rFonts w:ascii="Times New Roman" w:hAnsi="Times New Roman" w:cs="Times New Roman"/>
          <w:sz w:val="24"/>
          <w:szCs w:val="24"/>
        </w:rPr>
        <w:t xml:space="preserve">.5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 Полный электронный адрес размещения документов по оценке фактического воздействия нормативного правового акта</w:t>
      </w:r>
      <w:r>
        <w:rPr>
          <w:rFonts w:ascii="Times New Roman" w:hAnsi="Times New Roman" w:cs="Times New Roman"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 Сравнительный анализ установленных в сводном отчете прогнозных </w:t>
      </w:r>
      <w:r>
        <w:rPr>
          <w:rFonts w:ascii="Times New Roman" w:hAnsi="Times New Roman" w:cs="Times New Roman"/>
          <w:sz w:val="24"/>
          <w:szCs w:val="24"/>
        </w:rPr>
        <w:t xml:space="preserve">показателей (</w:t>
      </w:r>
      <w:r>
        <w:rPr>
          <w:rFonts w:ascii="Times New Roman" w:hAnsi="Times New Roman" w:cs="Times New Roman"/>
          <w:sz w:val="24"/>
          <w:szCs w:val="24"/>
        </w:rPr>
        <w:t xml:space="preserve">индикаторов</w:t>
      </w:r>
      <w:r>
        <w:rPr>
          <w:rFonts w:ascii="Times New Roman" w:hAnsi="Times New Roman" w:cs="Times New Roman"/>
          <w:sz w:val="24"/>
          <w:szCs w:val="24"/>
        </w:rPr>
        <w:t xml:space="preserve">)</w:t>
      </w:r>
      <w:r>
        <w:rPr>
          <w:rFonts w:ascii="Times New Roman" w:hAnsi="Times New Roman" w:cs="Times New Roman"/>
          <w:sz w:val="24"/>
          <w:szCs w:val="24"/>
        </w:rPr>
        <w:t xml:space="preserve"> достижения целей и их фактических значений:</w:t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Style w:val="881"/>
        <w:tblW w:w="10171" w:type="dxa"/>
        <w:tblInd w:w="-67" w:type="dxa"/>
        <w:tblLayout w:type="fixed"/>
        <w:tblLook w:val="04A0" w:firstRow="1" w:lastRow="0" w:firstColumn="1" w:lastColumn="0" w:noHBand="0" w:noVBand="1"/>
      </w:tblPr>
      <w:tblGrid>
        <w:gridCol w:w="1701"/>
        <w:gridCol w:w="1843"/>
        <w:gridCol w:w="1984"/>
        <w:gridCol w:w="1560"/>
        <w:gridCol w:w="1417"/>
        <w:gridCol w:w="1667"/>
      </w:tblGrid>
      <w:tr>
        <w:trPr/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Цель регулиро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b/>
                <w:spacing w:val="-4"/>
                <w:sz w:val="24"/>
                <w:szCs w:val="24"/>
              </w:rPr>
              <w:t xml:space="preserve">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Показатели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достижения целей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Способ расчета показателя (индикатора)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Значение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до 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ведения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правового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Текущее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Плановое значение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>
          <w:trHeight w:val="285"/>
        </w:trPr>
        <w:tc>
          <w:tcPr>
            <w:tcW w:w="170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  <w:u w:val="none"/>
              </w:rPr>
            </w:pPr>
            <w:r>
              <w:rPr>
                <w:rFonts w:ascii="Times New Roman" w:hAnsi="Times New Roman" w:eastAsia="PT Astra Serif" w:cs="Times New Roman"/>
                <w:color w:val="000000"/>
                <w:sz w:val="22"/>
                <w:szCs w:val="22"/>
                <w:u w:val="none"/>
              </w:rPr>
            </w:r>
            <w:r>
              <w:rPr>
                <w:rFonts w:ascii="Times New Roman" w:hAnsi="Times New Roman" w:eastAsia="PT Astra Serif" w:cs="Times New Roman"/>
                <w:sz w:val="22"/>
                <w:szCs w:val="22"/>
                <w:u w:val="none"/>
              </w:rPr>
              <w:t xml:space="preserve">Недопущение напряженности на рынке труда, ухудшения ситуации </w:t>
              <w:br/>
              <w:t xml:space="preserve">на отдельных предприятиях оборонно-промышлен-ного комплекса в условиях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  <w:u w:val="none"/>
              </w:rPr>
              <w:t xml:space="preserve">санкционных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  <w:u w:val="none"/>
              </w:rPr>
              <w:t xml:space="preserve"> ограничений и проведения специальной военной операции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W w:w="1843" w:type="dxa"/>
            <w:textDirection w:val="lrTb"/>
            <w:noWrap w:val="false"/>
          </w:tcPr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обученных за счет бюджетных средств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работников предприятий оборонно-промышленного комплекса, а также граждан,</w:t>
            </w:r>
            <w:r>
              <w:rPr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обратившихся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органы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службы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занятости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за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  <w:p>
            <w:pPr>
              <w:jc w:val="center"/>
              <w:rPr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содействием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 поиске подходящей работы и заключивших ученический договор с предприятиями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оборонно-промышленного комплекса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W w:w="198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Количественный: </w:t>
            </w:r>
            <w:r>
              <w:rPr>
                <w:rFonts w:ascii="Times New Roman" w:hAnsi="Times New Roman" w:eastAsia="PT Astra Serif" w:cs="Times New Roman"/>
                <w:bCs/>
                <w:sz w:val="22"/>
                <w:szCs w:val="22"/>
                <w:lang w:eastAsia="ru-RU"/>
              </w:rPr>
              <w:t xml:space="preserve"> еженедельный мониторинг реализации</w:t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PT Astra Serif" w:cs="Times New Roman"/>
                <w:bCs/>
                <w:sz w:val="22"/>
                <w:szCs w:val="22"/>
                <w:lang w:eastAsia="ru-RU"/>
              </w:rPr>
              <w:t xml:space="preserve">мероприятий, направленных на достижение целей регулирования и достижение</w:t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PT Astra Serif" w:cs="Times New Roman"/>
                <w:bCs/>
                <w:sz w:val="22"/>
                <w:szCs w:val="22"/>
                <w:lang w:eastAsia="ru-RU"/>
              </w:rPr>
              <w:t xml:space="preserve">ключевых показателей регулирования.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W w:w="156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PT Astra Serif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Данная мера поддержки в 2022 году оказывалась в соответствии с постановле-нием Правительст-ва Белгородской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области от</w:t>
            </w:r>
            <w:r>
              <w:rPr>
                <w:rFonts w:ascii="Times New Roman" w:hAnsi="Times New Roman" w:eastAsia="PT Astra Serif" w:cs="Times New Roman"/>
                <w:b w:val="0"/>
                <w:sz w:val="22"/>
                <w:szCs w:val="22"/>
              </w:rPr>
              <w:br/>
              <w:t xml:space="preserve"> 28 марта 2022 года </w:t>
              <w:br/>
              <w:t xml:space="preserve">№ 174-пп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. 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В 2022 году обучено     618 человек на 8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предприятиях региона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  <w:lang w:eastAsia="ru-RU"/>
              </w:rPr>
              <w:t xml:space="preserve">по 69 направлениям подготовки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W w:w="141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eastAsia="PT Astra Serif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PT Astra Serif" w:cs="Times New Roman"/>
                <w:b/>
                <w:bCs/>
                <w:sz w:val="22"/>
                <w:szCs w:val="22"/>
              </w:rPr>
              <w:t xml:space="preserve">0</w:t>
            </w:r>
            <w:r>
              <w:rPr>
                <w:rFonts w:ascii="Times New Roman" w:hAnsi="Times New Roman" w:eastAsia="PT Astra Serif" w:cs="Times New Roma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С 2023 г. по 2026 г. от регионал. предприя-тий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  <w:u w:val="none"/>
              </w:rPr>
              <w:t xml:space="preserve">оборонно-промышленного комплекса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, заявок не поступало. Мониторинг потребности в обучении работников данных предприя-тий выявил отсутствие такой потребности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  <w:tc>
          <w:tcPr>
            <w:tcW w:w="1667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  <w:r>
              <w:rPr>
                <w:rFonts w:ascii="Times New Roman" w:hAnsi="Times New Roman" w:eastAsia="PT Astra Serif" w:cs="Times New Roman"/>
                <w:b/>
                <w:bCs/>
                <w:sz w:val="22"/>
                <w:szCs w:val="22"/>
                <w:highlight w:val="none"/>
              </w:rPr>
              <w:t xml:space="preserve">Не менее 6</w:t>
            </w:r>
            <w:r>
              <w:rPr>
                <w:rFonts w:ascii="Times New Roman" w:hAnsi="Times New Roman" w:eastAsia="PT Astra Serif" w:cs="Times New Roman"/>
                <w:b/>
                <w:bCs/>
                <w:sz w:val="22"/>
                <w:szCs w:val="22"/>
                <w:highlight w:val="none"/>
              </w:rPr>
            </w:r>
            <w:r/>
          </w:p>
          <w:p>
            <w:pPr>
              <w:jc w:val="center"/>
              <w:rPr>
                <w:rFonts w:ascii="Times New Roman" w:hAnsi="Times New Roman" w:eastAsia="PT Astra Serif" w:cs="Times New Roman"/>
                <w:sz w:val="22"/>
                <w:szCs w:val="22"/>
                <w:highlight w:val="none"/>
              </w:rPr>
            </w:pP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</w:r>
            <w:r>
              <w:rPr>
                <w:rFonts w:ascii="Times New Roman" w:hAnsi="Times New Roman" w:eastAsia="PT Astra Serif" w:cs="Times New Roman"/>
                <w:bCs/>
                <w:sz w:val="22"/>
                <w:szCs w:val="22"/>
                <w:lang w:eastAsia="ru-RU"/>
              </w:rPr>
              <w:t xml:space="preserve">заявок на обучение работников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предприятий оборонно-промышлен-ного комплекса,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t xml:space="preserve">а также граждан, обратившихся в органы службы занятости за содействием в поиске подходящей работы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br/>
              <w:t xml:space="preserve">и заключивших ученический договор с предприятиями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</w:rPr>
              <w:br/>
              <w:t xml:space="preserve">оборонно-промышлен-ного комплекса</w:t>
            </w:r>
            <w:r>
              <w:rPr>
                <w:rFonts w:ascii="Times New Roman" w:hAnsi="Times New Roman" w:cs="Times New Roman"/>
                <w:sz w:val="22"/>
                <w:szCs w:val="22"/>
              </w:rPr>
            </w:r>
            <w:r/>
          </w:p>
        </w:tc>
      </w:tr>
    </w:tbl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</w:t>
      </w:r>
      <w:r>
        <w:rPr>
          <w:rFonts w:ascii="Times New Roman" w:hAnsi="Times New Roman" w:cs="Times New Roman"/>
          <w:sz w:val="24"/>
          <w:szCs w:val="24"/>
        </w:rPr>
        <w:t xml:space="preserve">.</w:t>
      </w:r>
      <w:r>
        <w:rPr>
          <w:rFonts w:ascii="Times New Roman" w:hAnsi="Times New Roman" w:cs="Times New Roman"/>
          <w:sz w:val="24"/>
          <w:szCs w:val="24"/>
        </w:rPr>
        <w:t xml:space="preserve">1</w:t>
      </w:r>
      <w:r>
        <w:rPr>
          <w:rFonts w:ascii="Times New Roman" w:hAnsi="Times New Roman" w:cs="Times New Roman"/>
          <w:sz w:val="24"/>
          <w:szCs w:val="24"/>
        </w:rPr>
        <w:t xml:space="preserve">. Источники данных: и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нформация, поступившая в министерство социальной защиты населения и труда Белгородской области от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региональных предприятий 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оборонно-промышленного комплекса</w:t>
      </w:r>
      <w:r>
        <w:rPr>
          <w:rFonts w:ascii="Times New Roman" w:hAnsi="Times New Roman" w:eastAsia="PT Astra Serif" w:cs="Times New Roman"/>
          <w:sz w:val="24"/>
          <w:szCs w:val="24"/>
          <w:u w:val="single"/>
        </w:rPr>
        <w:t xml:space="preserve">, имеющих право на участие в дополнительных мероприятиях.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Cs/>
          <w:sz w:val="24"/>
          <w:szCs w:val="24"/>
        </w:rPr>
        <w:t xml:space="preserve">. Анализ последствий установленного правового регулирования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Cs/>
          <w:sz w:val="24"/>
          <w:szCs w:val="24"/>
        </w:rPr>
        <w:t xml:space="preserve">.1. </w:t>
      </w:r>
      <w:r>
        <w:rPr>
          <w:rFonts w:ascii="Times New Roman" w:hAnsi="Times New Roman" w:cs="Times New Roman"/>
          <w:bCs/>
          <w:sz w:val="24"/>
          <w:szCs w:val="24"/>
        </w:rPr>
        <w:t xml:space="preserve">Анализ фактических положительных и отрицательных последствий установленного правового регулирования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100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689"/>
        <w:gridCol w:w="2980"/>
        <w:gridCol w:w="2268"/>
      </w:tblGrid>
      <w:tr>
        <w:trPr/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Группы заинтересованных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689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писание прогнозных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положительных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отрицательных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последствий установленного регулирования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980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писание фактических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положительных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отрицательных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последствий установленного регулирования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фактических последствий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сравнении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прогнозными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  <w:suppressLineNumbers w:val="0"/>
            </w:pPr>
            <w:r>
              <w:rPr>
                <w:rFonts w:ascii="Times New Roman" w:hAnsi="Times New Roman" w:eastAsia="PT Astra Serif" w:cs="Times New Roman"/>
                <w:iCs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 w:cs="Times New Roman"/>
                <w:iCs/>
                <w:sz w:val="24"/>
                <w:szCs w:val="24"/>
              </w:rPr>
              <w:t xml:space="preserve">Работодатели  п</w:t>
            </w:r>
            <w:r>
              <w:rPr>
                <w:rFonts w:ascii="Times New Roman" w:hAnsi="Times New Roman" w:eastAsia="PT Astra Serif" w:cs="Times New Roman"/>
                <w:iCs/>
                <w:sz w:val="24"/>
                <w:szCs w:val="24"/>
              </w:rPr>
              <w:t xml:space="preserve">редприятий оборонно-промышленного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689" w:type="dxa"/>
            <w:textDirection w:val="lrTb"/>
            <w:noWrap w:val="false"/>
          </w:tcPr>
          <w:p>
            <w:pPr>
              <w:ind w:left="0" w:firstLine="0"/>
              <w:spacing w:before="0" w:beforeAutospacing="0" w:after="0" w:afterAutospacing="0"/>
              <w:rPr>
                <w:rFonts w:ascii="Times New Roman" w:hAnsi="Times New Roman" w:eastAsia="PT Astra Serif" w:cs="Times New Roman"/>
                <w:sz w:val="24"/>
                <w:szCs w:val="24"/>
              </w:rPr>
              <w:suppressLineNumbers w:val="0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 - </w:t>
            </w:r>
            <w:r>
              <w:rPr>
                <w:rFonts w:ascii="Times New Roman" w:hAnsi="Times New Roman" w:eastAsia="PT Astra Serif" w:cs="Times New Roman"/>
                <w:sz w:val="22"/>
                <w:szCs w:val="22"/>
                <w:u w:val="none"/>
              </w:rPr>
              <w:t xml:space="preserve">недопущение напряженности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 на рынке труда;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/>
          </w:p>
          <w:p>
            <w:pPr>
              <w:ind w:left="0" w:firstLine="0"/>
              <w:spacing w:before="0" w:beforeAutospacing="0" w:after="0" w:afterAutospacing="0"/>
              <w:suppressLineNumbers w:val="0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 -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обучение за счет бюджетных средств</w:t>
            </w:r>
            <w:r/>
          </w:p>
          <w:p>
            <w:pPr>
              <w:ind w:left="0" w:firstLine="0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  <w:suppressLineNumbers w:val="0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работников предприятий оборонно-промышленного комплекса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</w:r>
            <w:r/>
          </w:p>
        </w:tc>
        <w:tc>
          <w:tcPr>
            <w:tcW w:w="2980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В 2022 году обучено 618 человек на 8 предприятиях региона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lang w:eastAsia="ru-RU"/>
              </w:rPr>
              <w:t xml:space="preserve">по 69 направлениям подготовки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. С 2023 г. по 2026 г. от региональных предприятий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u w:val="none"/>
              </w:rPr>
              <w:t xml:space="preserve">оборонно-промышленного комплекса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, имеющих право  на участие в дополнительных мероприятиях, заявок не поступало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ind w:left="0" w:firstLine="0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Роста уровня безработицы в регионе не произошло, однако данная мера не востребована, поскольку у  некоторых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региональных предприятий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u w:val="none"/>
              </w:rPr>
              <w:t xml:space="preserve">оборонно-промышленного комплекса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есть свои учебные центры, а также по мнению данных предприятий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трудозатраты на право участия в дополнительных мероприятиях несоразмеримы с результатом.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ind w:left="0" w:firstLine="0"/>
              <w:jc w:val="center"/>
              <w:spacing w:before="0" w:beforeAutospacing="0" w:after="0" w:afterAutospacing="0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suppressLineNumbers w:val="0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Данная мера поддержки не востребована.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ind w:firstLine="709"/>
        <w:jc w:val="both"/>
        <w:rPr>
          <w:rFonts w:ascii="Times New Roman" w:hAnsi="Times New Roman" w:cs="Times New Roman"/>
          <w:sz w:val="24"/>
          <w:szCs w:val="24"/>
          <w:highlight w:val="non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</w:t>
      </w:r>
      <w:r>
        <w:rPr>
          <w:rFonts w:ascii="Times New Roman" w:hAnsi="Times New Roman" w:cs="Times New Roman"/>
          <w:bCs/>
          <w:sz w:val="24"/>
          <w:szCs w:val="24"/>
        </w:rPr>
        <w:t xml:space="preserve">.2. </w:t>
      </w:r>
      <w:r>
        <w:rPr>
          <w:rFonts w:ascii="Times New Roman" w:hAnsi="Times New Roman" w:cs="Times New Roman"/>
          <w:bCs/>
          <w:sz w:val="24"/>
          <w:szCs w:val="24"/>
        </w:rPr>
        <w:t xml:space="preserve">Анализ фактических </w:t>
      </w:r>
      <w:r>
        <w:rPr>
          <w:rFonts w:ascii="Times New Roman" w:hAnsi="Times New Roman" w:cs="Times New Roman"/>
          <w:bCs/>
          <w:sz w:val="24"/>
          <w:szCs w:val="24"/>
        </w:rPr>
        <w:t xml:space="preserve">затрат </w:t>
      </w:r>
      <w:r>
        <w:rPr>
          <w:rFonts w:ascii="Times New Roman" w:hAnsi="Times New Roman" w:cs="Times New Roman"/>
          <w:bCs/>
          <w:sz w:val="24"/>
          <w:szCs w:val="24"/>
        </w:rPr>
        <w:t xml:space="preserve">субъектов предпринимательской и иной экономической деятельности на соблюдение</w:t>
      </w:r>
      <w:r>
        <w:rPr>
          <w:rFonts w:ascii="Times New Roman" w:hAnsi="Times New Roman" w:cs="Times New Roman"/>
          <w:bCs/>
          <w:sz w:val="24"/>
          <w:szCs w:val="24"/>
        </w:rPr>
        <w:t xml:space="preserve"> установленного правового регулирования</w:t>
      </w:r>
      <w:r>
        <w:rPr>
          <w:rFonts w:ascii="Times New Roman" w:hAnsi="Times New Roman" w:cs="Times New Roman"/>
          <w:bCs/>
          <w:sz w:val="24"/>
          <w:szCs w:val="24"/>
        </w:rPr>
        <w:t xml:space="preserve"> (на соблюдение обязательных требований):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>
        <w:rPr>
          <w:rFonts w:ascii="Times New Roman" w:hAnsi="Times New Roman" w:cs="Times New Roman"/>
          <w:bCs/>
          <w:sz w:val="24"/>
          <w:szCs w:val="24"/>
          <w:highlight w:val="none"/>
        </w:rPr>
      </w:r>
      <w:r/>
    </w:p>
    <w:tbl>
      <w:tblPr>
        <w:tblW w:w="100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551"/>
        <w:gridCol w:w="2551"/>
        <w:gridCol w:w="2835"/>
      </w:tblGrid>
      <w:tr>
        <w:trPr/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Группы заинтересованных лиц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Описание плановых затрат субъектов предпринимательской и иной экономической деятельности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писание фактических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затрат субъектов предпринимательской и иной экономической деятельности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фактических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затрат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сравнении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прогнозными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r>
            <w:r>
              <w:rPr>
                <w:rFonts w:ascii="Times New Roman" w:hAnsi="Times New Roman" w:eastAsia="PT Astra Serif" w:cs="Times New Roman"/>
                <w:iCs/>
                <w:sz w:val="24"/>
                <w:szCs w:val="24"/>
              </w:rPr>
              <w:t xml:space="preserve">Работодатели  п</w:t>
            </w:r>
            <w:r>
              <w:rPr>
                <w:rFonts w:ascii="Times New Roman" w:hAnsi="Times New Roman" w:eastAsia="PT Astra Serif" w:cs="Times New Roman"/>
                <w:iCs/>
                <w:sz w:val="24"/>
                <w:szCs w:val="24"/>
              </w:rPr>
              <w:t xml:space="preserve">редприятий оборонно-промышленного комплекса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bCs w:val="0"/>
                <w:i w:val="0"/>
              </w:rPr>
            </w:pPr>
            <w:r>
              <w:rPr>
                <w:i w:val="0"/>
                <w:iCs w:val="0"/>
              </w:rPr>
              <w:t xml:space="preserve">Общая стоимость затрат на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предоставление пакета документов, необходимого для получения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субсидий в 2023 году, по оценке разработчика составила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 xml:space="preserve">22680</w:t>
            </w:r>
            <w:r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руб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.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i w:val="0"/>
                <w:iCs w:val="0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bCs w:val="0"/>
              </w:rPr>
            </w:pPr>
            <w:r>
              <w:rPr>
                <w:i w:val="0"/>
                <w:iCs w:val="0"/>
              </w:rPr>
              <w:t xml:space="preserve">Общая стоимость затрат на </w:t>
            </w:r>
            <w:r>
              <w:rPr>
                <w:rFonts w:ascii="Times New Roman" w:hAnsi="Times New Roman" w:cs="Times New Roman"/>
                <w:i w:val="0"/>
                <w:iCs w:val="0"/>
                <w:sz w:val="24"/>
                <w:szCs w:val="24"/>
              </w:rPr>
              <w:t xml:space="preserve">предоставление пакета документов, необходимого для получения </w:t>
            </w:r>
            <w:r>
              <w:rPr>
                <w:rFonts w:ascii="Times New Roman" w:hAnsi="Times New Roman" w:cs="Times New Roman"/>
                <w:i w:val="0"/>
                <w:iCs w:val="0"/>
                <w:color w:val="000000"/>
                <w:sz w:val="24"/>
                <w:szCs w:val="24"/>
                <w:shd w:val="clear" w:color="auto" w:fill="ffffff"/>
              </w:rPr>
              <w:t xml:space="preserve">субсидий в 2026 году, по оценке разработчика составила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52047,24 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руб</w:t>
            </w:r>
            <w:r>
              <w:rPr>
                <w:rFonts w:ascii="Times New Roman" w:hAnsi="Times New Roman" w:cs="Times New Roman"/>
                <w:b/>
                <w:bCs/>
                <w:i w:val="0"/>
                <w:iCs w:val="0"/>
                <w:sz w:val="24"/>
                <w:szCs w:val="24"/>
                <w:shd w:val="clear" w:color="auto" w:fill="ffffff"/>
              </w:rPr>
              <w:t xml:space="preserve">.</w:t>
            </w:r>
            <w:r>
              <w:rPr>
                <w:i w:val="0"/>
                <w:iCs w:val="0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Увеличение стоимости затрат на подачу пакета документов за счет роста уровня заработной платы </w:t>
              <w:br/>
              <w:t xml:space="preserve">в данной отрасли.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</w:pP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  <w:t xml:space="preserve">В связи с отсутствием необходимости в обучении сотрудников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региональных предприятий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u w:val="none"/>
              </w:rPr>
              <w:t xml:space="preserve">оборонно-промышленного комплекса,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заявок на получение субсидии</w:t>
            </w:r>
            <w: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r>
            <w:r/>
          </w:p>
          <w:p>
            <w:pPr>
              <w:jc w:val="center"/>
              <w:rPr>
                <w:rFonts w:ascii="Times New Roman" w:hAnsi="Times New Roman" w:eastAsia="PT Astra Serif" w:cs="Times New Roman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с 2023 г. по 2026 г.  от таких предприятий 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</w:rPr>
              <w:t xml:space="preserve">не поступало. Соответственно, дополнительных расходов не выявлено.</w:t>
            </w:r>
            <w:r>
              <w:rPr>
                <w:rFonts w:ascii="Times New Roman" w:hAnsi="Times New Roman" w:eastAsia="PT Astra Serif" w:cs="Times New Roman"/>
                <w:sz w:val="24"/>
                <w:szCs w:val="24"/>
                <w:highlight w:val="none"/>
              </w:rPr>
            </w:r>
            <w:r/>
          </w:p>
        </w:tc>
      </w:tr>
    </w:tbl>
    <w:p>
      <w:pPr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5.3. Анализ расходов (возможных поступлений) консолидированного бюджета </w:t>
      </w:r>
      <w:r>
        <w:rPr>
          <w:rFonts w:ascii="Times New Roman" w:hAnsi="Times New Roman" w:cs="Times New Roman"/>
          <w:bCs/>
          <w:sz w:val="24"/>
          <w:szCs w:val="24"/>
        </w:rPr>
        <w:t xml:space="preserve">Белгородской области: расходы не осуществлялись</w:t>
      </w:r>
      <w:r>
        <w:rPr>
          <w:rFonts w:ascii="Times New Roman" w:hAnsi="Times New Roman" w:cs="Times New Roman"/>
          <w:sz w:val="24"/>
          <w:szCs w:val="24"/>
        </w:rPr>
      </w:r>
      <w:r/>
    </w:p>
    <w:tbl>
      <w:tblPr>
        <w:tblW w:w="1006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26"/>
        <w:gridCol w:w="2551"/>
        <w:gridCol w:w="2551"/>
        <w:gridCol w:w="2835"/>
      </w:tblGrid>
      <w:tr>
        <w:trPr/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Описание расходов (поступлений) </w:t>
            </w:r>
            <w:r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 xml:space="preserve">консолидированного бюджета Белгородской области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ланов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ая количественная оценка,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тыс.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Фактическая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количественная оценка,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тыс. рублей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Оценка фактических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расходов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 сравнении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  <w:p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 прогнозными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  <w:tr>
        <w:trPr/>
        <w:tc>
          <w:tcPr>
            <w:tcW w:w="2126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551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highlight w:val="none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  <w:tc>
          <w:tcPr>
            <w:tcW w:w="2835" w:type="dxa"/>
            <w:textDirection w:val="lrTb"/>
            <w:noWrap w:val="false"/>
          </w:tcPr>
          <w:p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</w:t>
            </w:r>
            <w:r>
              <w:rPr>
                <w:rFonts w:ascii="Times New Roman" w:hAnsi="Times New Roman" w:cs="Times New Roman"/>
                <w:sz w:val="24"/>
                <w:szCs w:val="24"/>
              </w:rPr>
            </w:r>
            <w:r/>
          </w:p>
        </w:tc>
      </w:tr>
    </w:tbl>
    <w:p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6</w:t>
      </w:r>
      <w:r>
        <w:rPr>
          <w:rFonts w:ascii="Times New Roman" w:hAnsi="Times New Roman" w:cs="Times New Roman"/>
          <w:bCs/>
          <w:sz w:val="24"/>
          <w:szCs w:val="24"/>
        </w:rPr>
        <w:t xml:space="preserve">. Оценка соблюдения принципов установления и оценки применения обязательных требований</w:t>
      </w:r>
      <w:r>
        <w:rPr>
          <w:rFonts w:ascii="Times New Roman" w:hAnsi="Times New Roman" w:cs="Times New Roman"/>
          <w:bCs/>
          <w:sz w:val="24"/>
          <w:szCs w:val="24"/>
        </w:rPr>
        <w:t xml:space="preserve">: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обязательные требования нормативным правовым актом не устанавливались.</w:t>
      </w:r>
      <w:r>
        <w:rPr>
          <w:rFonts w:ascii="Times New Roman" w:hAnsi="Times New Roman" w:cs="Times New Roman"/>
          <w:sz w:val="24"/>
          <w:szCs w:val="24"/>
          <w:u w:val="single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 Иные сведения, позволяющие оценить фактическое воздействие: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</w:r>
      <w:r/>
    </w:p>
    <w:p>
      <w:pPr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.1. Иные сведения: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отсутствуют.</w:t>
      </w:r>
      <w:r>
        <w:rPr>
          <w:rFonts w:ascii="Times New Roman" w:hAnsi="Times New Roman" w:cs="Times New Roman"/>
          <w:sz w:val="24"/>
          <w:szCs w:val="24"/>
        </w:rPr>
      </w:r>
      <w:r/>
    </w:p>
    <w:p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</w:t>
      </w:r>
      <w:r>
        <w:rPr>
          <w:rFonts w:ascii="Times New Roman" w:hAnsi="Times New Roman" w:cs="Times New Roman"/>
          <w:sz w:val="24"/>
          <w:szCs w:val="24"/>
        </w:rPr>
        <w:t xml:space="preserve">.2. Источники данных: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</w:t>
      </w:r>
      <w:r>
        <w:rPr>
          <w:rFonts w:ascii="Times New Roman" w:hAnsi="Times New Roman" w:cs="Times New Roman"/>
          <w:sz w:val="24"/>
          <w:szCs w:val="24"/>
        </w:rPr>
      </w:r>
      <w:r/>
    </w:p>
    <w:sectPr>
      <w:headerReference w:type="default" r:id="rId9"/>
      <w:footnotePr/>
      <w:endnotePr/>
      <w:type w:val="nextPage"/>
      <w:pgSz w:w="11906" w:h="16838" w:orient="portrait"/>
      <w:pgMar w:top="1134" w:right="709" w:bottom="1077" w:left="1134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Verdana">
    <w:panose1 w:val="020B0604030504040204"/>
  </w:font>
  <w:font w:name="Tahoma">
    <w:panose1 w:val="020B0604030504040204"/>
  </w:font>
  <w:font w:name="PT Serif">
    <w:panose1 w:val="020A0603040505020204"/>
  </w:font>
  <w:font w:name="Courier New">
    <w:panose1 w:val="020703090202050204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73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 xml:space="preserve">4</w:t>
    </w:r>
    <w:r>
      <w:fldChar w:fldCharType="end"/>
    </w:r>
    <w:r/>
  </w:p>
  <w:p>
    <w:pPr>
      <w:pStyle w:val="87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isLgl w:val="false"/>
      <w:suff w:val="tab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isLgl w:val="false"/>
      <w:suff w:val="tab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 w:val="false"/>
      <w:suff w:val="tab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 w:val="false"/>
      <w:suff w:val="tab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 w:val="false"/>
      <w:suff w:val="tab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 w:val="false"/>
      <w:suff w:val="tab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 w:val="false"/>
      <w:suff w:val="tab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 w:val="false"/>
      <w:suff w:val="tab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656">
    <w:name w:val="Heading 1 Char"/>
    <w:basedOn w:val="700"/>
    <w:link w:val="691"/>
    <w:uiPriority w:val="9"/>
    <w:rPr>
      <w:rFonts w:ascii="Arial" w:hAnsi="Arial" w:eastAsia="Arial" w:cs="Arial"/>
      <w:sz w:val="40"/>
      <w:szCs w:val="40"/>
    </w:rPr>
  </w:style>
  <w:style w:type="character" w:styleId="657">
    <w:name w:val="Heading 2 Char"/>
    <w:basedOn w:val="700"/>
    <w:link w:val="692"/>
    <w:uiPriority w:val="9"/>
    <w:rPr>
      <w:rFonts w:ascii="Arial" w:hAnsi="Arial" w:eastAsia="Arial" w:cs="Arial"/>
      <w:sz w:val="34"/>
    </w:rPr>
  </w:style>
  <w:style w:type="character" w:styleId="658">
    <w:name w:val="Heading 3 Char"/>
    <w:basedOn w:val="700"/>
    <w:link w:val="693"/>
    <w:uiPriority w:val="9"/>
    <w:rPr>
      <w:rFonts w:ascii="Arial" w:hAnsi="Arial" w:eastAsia="Arial" w:cs="Arial"/>
      <w:sz w:val="30"/>
      <w:szCs w:val="30"/>
    </w:rPr>
  </w:style>
  <w:style w:type="character" w:styleId="659">
    <w:name w:val="Heading 4 Char"/>
    <w:basedOn w:val="700"/>
    <w:link w:val="694"/>
    <w:uiPriority w:val="9"/>
    <w:rPr>
      <w:rFonts w:ascii="Arial" w:hAnsi="Arial" w:eastAsia="Arial" w:cs="Arial"/>
      <w:b/>
      <w:bCs/>
      <w:sz w:val="26"/>
      <w:szCs w:val="26"/>
    </w:rPr>
  </w:style>
  <w:style w:type="character" w:styleId="660">
    <w:name w:val="Heading 5 Char"/>
    <w:basedOn w:val="700"/>
    <w:link w:val="695"/>
    <w:uiPriority w:val="9"/>
    <w:rPr>
      <w:rFonts w:ascii="Arial" w:hAnsi="Arial" w:eastAsia="Arial" w:cs="Arial"/>
      <w:b/>
      <w:bCs/>
      <w:sz w:val="24"/>
      <w:szCs w:val="24"/>
    </w:rPr>
  </w:style>
  <w:style w:type="character" w:styleId="661">
    <w:name w:val="Heading 6 Char"/>
    <w:basedOn w:val="70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662">
    <w:name w:val="Heading 7 Char"/>
    <w:basedOn w:val="700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663">
    <w:name w:val="Heading 8 Char"/>
    <w:basedOn w:val="70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664">
    <w:name w:val="Heading 9 Char"/>
    <w:basedOn w:val="70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character" w:styleId="665">
    <w:name w:val="Title Char"/>
    <w:basedOn w:val="700"/>
    <w:link w:val="714"/>
    <w:uiPriority w:val="10"/>
    <w:rPr>
      <w:sz w:val="48"/>
      <w:szCs w:val="48"/>
    </w:rPr>
  </w:style>
  <w:style w:type="character" w:styleId="666">
    <w:name w:val="Subtitle Char"/>
    <w:basedOn w:val="700"/>
    <w:link w:val="716"/>
    <w:uiPriority w:val="11"/>
    <w:rPr>
      <w:sz w:val="24"/>
      <w:szCs w:val="24"/>
    </w:rPr>
  </w:style>
  <w:style w:type="character" w:styleId="667">
    <w:name w:val="Quote Char"/>
    <w:link w:val="718"/>
    <w:uiPriority w:val="29"/>
    <w:rPr>
      <w:i/>
    </w:rPr>
  </w:style>
  <w:style w:type="character" w:styleId="668">
    <w:name w:val="Intense Quote Char"/>
    <w:link w:val="720"/>
    <w:uiPriority w:val="30"/>
    <w:rPr>
      <w:i/>
    </w:rPr>
  </w:style>
  <w:style w:type="table" w:styleId="669">
    <w:name w:val="Plain Table 1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0">
    <w:name w:val="Plain Table 2"/>
    <w:basedOn w:val="701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71">
    <w:name w:val="Plain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72">
    <w:name w:val="Plain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3">
    <w:name w:val="Plain Table 5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74">
    <w:name w:val="Grid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75">
    <w:name w:val="Grid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6">
    <w:name w:val="Grid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7">
    <w:name w:val="Grid Table 4"/>
    <w:basedOn w:val="70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678">
    <w:name w:val="Grid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679">
    <w:name w:val="Grid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680">
    <w:name w:val="Grid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1">
    <w:name w:val="List Table 1 Light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2">
    <w:name w:val="List Table 2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683">
    <w:name w:val="List Table 3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4">
    <w:name w:val="List Table 4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85">
    <w:name w:val="List Table 5 Dark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686">
    <w:name w:val="List Table 6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687">
    <w:name w:val="List Table 7 Colorful"/>
    <w:basedOn w:val="70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character" w:styleId="688">
    <w:name w:val="Footnote Text Char"/>
    <w:link w:val="852"/>
    <w:uiPriority w:val="99"/>
    <w:rPr>
      <w:sz w:val="18"/>
    </w:rPr>
  </w:style>
  <w:style w:type="character" w:styleId="689">
    <w:name w:val="Endnote Text Char"/>
    <w:link w:val="855"/>
    <w:uiPriority w:val="99"/>
    <w:rPr>
      <w:sz w:val="20"/>
    </w:rPr>
  </w:style>
  <w:style w:type="paragraph" w:styleId="690" w:default="1">
    <w:name w:val="Normal"/>
    <w:qFormat/>
    <w:rPr>
      <w:sz w:val="24"/>
      <w:szCs w:val="24"/>
    </w:rPr>
  </w:style>
  <w:style w:type="paragraph" w:styleId="691">
    <w:name w:val="Heading 1"/>
    <w:basedOn w:val="690"/>
    <w:next w:val="690"/>
    <w:link w:val="70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692">
    <w:name w:val="Heading 2"/>
    <w:basedOn w:val="690"/>
    <w:next w:val="690"/>
    <w:link w:val="704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693">
    <w:name w:val="Heading 3"/>
    <w:basedOn w:val="690"/>
    <w:next w:val="690"/>
    <w:link w:val="705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694">
    <w:name w:val="Heading 4"/>
    <w:basedOn w:val="690"/>
    <w:next w:val="690"/>
    <w:link w:val="706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5">
    <w:name w:val="Heading 5"/>
    <w:basedOn w:val="690"/>
    <w:next w:val="690"/>
    <w:link w:val="70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696">
    <w:name w:val="Heading 6"/>
    <w:basedOn w:val="690"/>
    <w:next w:val="690"/>
    <w:link w:val="708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697">
    <w:name w:val="Heading 7"/>
    <w:basedOn w:val="690"/>
    <w:next w:val="690"/>
    <w:link w:val="709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698">
    <w:name w:val="Heading 8"/>
    <w:basedOn w:val="690"/>
    <w:next w:val="690"/>
    <w:link w:val="71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699">
    <w:name w:val="Heading 9"/>
    <w:basedOn w:val="690"/>
    <w:next w:val="690"/>
    <w:link w:val="71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0" w:default="1">
    <w:name w:val="Default Paragraph Font"/>
    <w:uiPriority w:val="1"/>
    <w:semiHidden/>
    <w:unhideWhenUsed/>
  </w:style>
  <w:style w:type="table" w:styleId="701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2" w:default="1">
    <w:name w:val="No List"/>
    <w:uiPriority w:val="99"/>
    <w:semiHidden/>
    <w:unhideWhenUsed/>
  </w:style>
  <w:style w:type="character" w:styleId="703" w:customStyle="1">
    <w:name w:val="Заголовок 1 Знак"/>
    <w:basedOn w:val="700"/>
    <w:link w:val="691"/>
    <w:uiPriority w:val="9"/>
    <w:rPr>
      <w:rFonts w:ascii="Arial" w:hAnsi="Arial" w:eastAsia="Arial" w:cs="Arial"/>
      <w:sz w:val="40"/>
      <w:szCs w:val="40"/>
    </w:rPr>
  </w:style>
  <w:style w:type="character" w:styleId="704" w:customStyle="1">
    <w:name w:val="Заголовок 2 Знак"/>
    <w:basedOn w:val="700"/>
    <w:link w:val="692"/>
    <w:uiPriority w:val="9"/>
    <w:rPr>
      <w:rFonts w:ascii="Arial" w:hAnsi="Arial" w:eastAsia="Arial" w:cs="Arial"/>
      <w:sz w:val="34"/>
    </w:rPr>
  </w:style>
  <w:style w:type="character" w:styleId="705" w:customStyle="1">
    <w:name w:val="Заголовок 3 Знак"/>
    <w:basedOn w:val="700"/>
    <w:link w:val="693"/>
    <w:uiPriority w:val="9"/>
    <w:rPr>
      <w:rFonts w:ascii="Arial" w:hAnsi="Arial" w:eastAsia="Arial" w:cs="Arial"/>
      <w:sz w:val="30"/>
      <w:szCs w:val="30"/>
    </w:rPr>
  </w:style>
  <w:style w:type="character" w:styleId="706" w:customStyle="1">
    <w:name w:val="Заголовок 4 Знак"/>
    <w:basedOn w:val="700"/>
    <w:link w:val="694"/>
    <w:uiPriority w:val="9"/>
    <w:rPr>
      <w:rFonts w:ascii="Arial" w:hAnsi="Arial" w:eastAsia="Arial" w:cs="Arial"/>
      <w:b/>
      <w:bCs/>
      <w:sz w:val="26"/>
      <w:szCs w:val="26"/>
    </w:rPr>
  </w:style>
  <w:style w:type="character" w:styleId="707" w:customStyle="1">
    <w:name w:val="Заголовок 5 Знак"/>
    <w:basedOn w:val="700"/>
    <w:link w:val="695"/>
    <w:uiPriority w:val="9"/>
    <w:rPr>
      <w:rFonts w:ascii="Arial" w:hAnsi="Arial" w:eastAsia="Arial" w:cs="Arial"/>
      <w:b/>
      <w:bCs/>
      <w:sz w:val="24"/>
      <w:szCs w:val="24"/>
    </w:rPr>
  </w:style>
  <w:style w:type="character" w:styleId="708" w:customStyle="1">
    <w:name w:val="Заголовок 6 Знак"/>
    <w:basedOn w:val="700"/>
    <w:link w:val="696"/>
    <w:uiPriority w:val="9"/>
    <w:rPr>
      <w:rFonts w:ascii="Arial" w:hAnsi="Arial" w:eastAsia="Arial" w:cs="Arial"/>
      <w:b/>
      <w:bCs/>
      <w:sz w:val="22"/>
      <w:szCs w:val="22"/>
    </w:rPr>
  </w:style>
  <w:style w:type="character" w:styleId="709" w:customStyle="1">
    <w:name w:val="Заголовок 7 Знак"/>
    <w:basedOn w:val="700"/>
    <w:link w:val="69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0" w:customStyle="1">
    <w:name w:val="Заголовок 8 Знак"/>
    <w:basedOn w:val="700"/>
    <w:link w:val="698"/>
    <w:uiPriority w:val="9"/>
    <w:rPr>
      <w:rFonts w:ascii="Arial" w:hAnsi="Arial" w:eastAsia="Arial" w:cs="Arial"/>
      <w:i/>
      <w:iCs/>
      <w:sz w:val="22"/>
      <w:szCs w:val="22"/>
    </w:rPr>
  </w:style>
  <w:style w:type="character" w:styleId="711" w:customStyle="1">
    <w:name w:val="Заголовок 9 Знак"/>
    <w:basedOn w:val="700"/>
    <w:link w:val="699"/>
    <w:uiPriority w:val="9"/>
    <w:rPr>
      <w:rFonts w:ascii="Arial" w:hAnsi="Arial" w:eastAsia="Arial" w:cs="Arial"/>
      <w:i/>
      <w:iCs/>
      <w:sz w:val="21"/>
      <w:szCs w:val="21"/>
    </w:rPr>
  </w:style>
  <w:style w:type="paragraph" w:styleId="712">
    <w:name w:val="List Paragraph"/>
    <w:basedOn w:val="690"/>
    <w:uiPriority w:val="34"/>
    <w:qFormat/>
    <w:pPr>
      <w:contextualSpacing/>
      <w:ind w:left="720"/>
    </w:pPr>
  </w:style>
  <w:style w:type="paragraph" w:styleId="713">
    <w:name w:val="No Spacing"/>
    <w:uiPriority w:val="1"/>
    <w:qFormat/>
  </w:style>
  <w:style w:type="paragraph" w:styleId="714">
    <w:name w:val="Title"/>
    <w:basedOn w:val="690"/>
    <w:next w:val="690"/>
    <w:link w:val="71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15" w:customStyle="1">
    <w:name w:val="Название Знак"/>
    <w:basedOn w:val="700"/>
    <w:link w:val="714"/>
    <w:uiPriority w:val="10"/>
    <w:rPr>
      <w:sz w:val="48"/>
      <w:szCs w:val="48"/>
    </w:rPr>
  </w:style>
  <w:style w:type="paragraph" w:styleId="716">
    <w:name w:val="Subtitle"/>
    <w:basedOn w:val="690"/>
    <w:next w:val="690"/>
    <w:link w:val="717"/>
    <w:uiPriority w:val="11"/>
    <w:qFormat/>
    <w:pPr>
      <w:spacing w:before="200" w:after="200"/>
    </w:pPr>
  </w:style>
  <w:style w:type="character" w:styleId="717" w:customStyle="1">
    <w:name w:val="Подзаголовок Знак"/>
    <w:basedOn w:val="700"/>
    <w:link w:val="716"/>
    <w:uiPriority w:val="11"/>
    <w:rPr>
      <w:sz w:val="24"/>
      <w:szCs w:val="24"/>
    </w:rPr>
  </w:style>
  <w:style w:type="paragraph" w:styleId="718">
    <w:name w:val="Quote"/>
    <w:basedOn w:val="690"/>
    <w:next w:val="690"/>
    <w:link w:val="719"/>
    <w:uiPriority w:val="29"/>
    <w:qFormat/>
    <w:pPr>
      <w:ind w:left="720" w:right="720"/>
    </w:pPr>
    <w:rPr>
      <w:i/>
    </w:rPr>
  </w:style>
  <w:style w:type="character" w:styleId="719" w:customStyle="1">
    <w:name w:val="Цитата 2 Знак"/>
    <w:link w:val="718"/>
    <w:uiPriority w:val="29"/>
    <w:rPr>
      <w:i/>
    </w:rPr>
  </w:style>
  <w:style w:type="paragraph" w:styleId="720">
    <w:name w:val="Intense Quote"/>
    <w:basedOn w:val="690"/>
    <w:next w:val="690"/>
    <w:link w:val="721"/>
    <w:uiPriority w:val="30"/>
    <w:qFormat/>
    <w:pPr>
      <w:ind w:left="720" w:right="720"/>
      <w:shd w:val="clear" w:color="f2f2f2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21" w:customStyle="1">
    <w:name w:val="Выделенная цитата Знак"/>
    <w:link w:val="720"/>
    <w:uiPriority w:val="30"/>
    <w:rPr>
      <w:i/>
    </w:rPr>
  </w:style>
  <w:style w:type="character" w:styleId="722" w:customStyle="1">
    <w:name w:val="Header Char"/>
    <w:basedOn w:val="700"/>
    <w:uiPriority w:val="99"/>
  </w:style>
  <w:style w:type="character" w:styleId="723" w:customStyle="1">
    <w:name w:val="Footer Char"/>
    <w:basedOn w:val="700"/>
    <w:uiPriority w:val="99"/>
  </w:style>
  <w:style w:type="paragraph" w:styleId="724">
    <w:name w:val="Caption"/>
    <w:basedOn w:val="690"/>
    <w:next w:val="690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styleId="725" w:customStyle="1">
    <w:name w:val="Caption Char"/>
    <w:uiPriority w:val="99"/>
  </w:style>
  <w:style w:type="table" w:styleId="726" w:customStyle="1">
    <w:name w:val="Table Grid Light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27" w:customStyle="1">
    <w:name w:val="Таблица простая 11"/>
    <w:basedOn w:val="70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8" w:customStyle="1">
    <w:name w:val="Таблица простая 21"/>
    <w:basedOn w:val="70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29" w:customStyle="1">
    <w:name w:val="Таблица простая 3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0" w:customStyle="1">
    <w:name w:val="Таблица простая 4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1" w:customStyle="1">
    <w:name w:val="Таблица простая 51"/>
    <w:basedOn w:val="701"/>
    <w:uiPriority w:val="99"/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32" w:customStyle="1">
    <w:name w:val="Таблица-сетка 1 светлая1"/>
    <w:basedOn w:val="70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3" w:customStyle="1">
    <w:name w:val="Grid Table 1 Light - Accent 1"/>
    <w:basedOn w:val="70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4" w:customStyle="1">
    <w:name w:val="Grid Table 1 Light - Accent 2"/>
    <w:basedOn w:val="70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5" w:customStyle="1">
    <w:name w:val="Grid Table 1 Light - Accent 3"/>
    <w:basedOn w:val="70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6" w:customStyle="1">
    <w:name w:val="Grid Table 1 Light - Accent 4"/>
    <w:basedOn w:val="70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7" w:customStyle="1">
    <w:name w:val="Grid Table 1 Light - Accent 5"/>
    <w:basedOn w:val="70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8" w:customStyle="1">
    <w:name w:val="Grid Table 1 Light - Accent 6"/>
    <w:basedOn w:val="70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 w:customStyle="1">
    <w:name w:val="Таблица-сетка 2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 w:customStyle="1">
    <w:name w:val="Grid Table 2 - Accent 1"/>
    <w:basedOn w:val="70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dea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 w:customStyle="1">
    <w:name w:val="Grid Table 2 - Accent 2"/>
    <w:basedOn w:val="70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 w:customStyle="1">
    <w:name w:val="Grid Table 2 - Accent 3"/>
    <w:basedOn w:val="70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 w:customStyle="1">
    <w:name w:val="Grid Table 2 - Accent 4"/>
    <w:basedOn w:val="70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 w:customStyle="1">
    <w:name w:val="Grid Table 2 - Accent 5"/>
    <w:basedOn w:val="70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 w:customStyle="1">
    <w:name w:val="Grid Table 2 - Accent 6"/>
    <w:basedOn w:val="70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 w:customStyle="1">
    <w:name w:val="Таблица-сетка 31"/>
    <w:basedOn w:val="70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 w:customStyle="1">
    <w:name w:val="Grid Table 3 - Accent 1"/>
    <w:basedOn w:val="70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dea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dea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 w:customStyle="1">
    <w:name w:val="Grid Table 3 - Accent 2"/>
    <w:basedOn w:val="70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 w:customStyle="1">
    <w:name w:val="Grid Table 3 - Accent 3"/>
    <w:basedOn w:val="70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 w:customStyle="1">
    <w:name w:val="Grid Table 3 - Accent 4"/>
    <w:basedOn w:val="70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 w:customStyle="1">
    <w:name w:val="Grid Table 3 - Accent 5"/>
    <w:basedOn w:val="70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 w:customStyle="1">
    <w:name w:val="Grid Table 3 - Accent 6"/>
    <w:basedOn w:val="70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 w:customStyle="1">
    <w:name w:val="Таблица-сетка 41"/>
    <w:basedOn w:val="70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54" w:customStyle="1">
    <w:name w:val="Grid Table 4 - Accent 1"/>
    <w:basedOn w:val="70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e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e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68A2D8" w:themeColor="accent1" w:themeTint="EA" w:sz="4" w:space="0"/>
        </w:tcBorders>
      </w:tcPr>
    </w:tblStylePr>
  </w:style>
  <w:style w:type="table" w:styleId="755" w:customStyle="1">
    <w:name w:val="Grid Table 4 - Accent 2"/>
    <w:basedOn w:val="70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4B184" w:themeColor="accent2" w:themeTint="97" w:sz="4" w:space="0"/>
        </w:tcBorders>
      </w:tcPr>
    </w:tblStylePr>
  </w:style>
  <w:style w:type="table" w:styleId="756" w:customStyle="1">
    <w:name w:val="Grid Table 4 - Accent 3"/>
    <w:basedOn w:val="70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themeTint="FE" w:sz="4" w:space="0"/>
        </w:tcBorders>
      </w:tcPr>
    </w:tblStylePr>
  </w:style>
  <w:style w:type="table" w:styleId="757" w:customStyle="1">
    <w:name w:val="Grid Table 4 - Accent 4"/>
    <w:basedOn w:val="70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D865" w:themeColor="accent4" w:themeTint="9A" w:sz="4" w:space="0"/>
        </w:tcBorders>
      </w:tcPr>
    </w:tblStylePr>
  </w:style>
  <w:style w:type="table" w:styleId="758" w:customStyle="1">
    <w:name w:val="Grid Table 4 - Accent 5"/>
    <w:basedOn w:val="70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</w:tcBorders>
      </w:tcPr>
    </w:tblStylePr>
  </w:style>
  <w:style w:type="table" w:styleId="759" w:customStyle="1">
    <w:name w:val="Grid Table 4 - Accent 6"/>
    <w:basedOn w:val="70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</w:tcBorders>
      </w:tcPr>
    </w:tblStylePr>
  </w:style>
  <w:style w:type="table" w:styleId="760" w:customStyle="1">
    <w:name w:val="Таблица-сетка 5 темная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bfbfbf" w:themeFill="text1" w:themeFillTint="40"/>
    </w:tblPr>
    <w:tblStylePr w:type="band1Horz">
      <w:tcPr>
        <w:shd w:val="clear" w:color="ffffff" w:fill="8a8a8a" w:themeFill="text1" w:themeFillTint="75"/>
      </w:tcPr>
    </w:tblStylePr>
    <w:tblStylePr w:type="band1Vert">
      <w:tcPr>
        <w:shd w:val="clear" w:color="ffffff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000000" w:themeFill="text1"/>
        <w:tcBorders>
          <w:top w:val="single" w:color="FFFFFF" w:themeColor="light1" w:sz="4" w:space="0"/>
        </w:tcBorders>
      </w:tcPr>
    </w:tblStylePr>
  </w:style>
  <w:style w:type="table" w:styleId="761" w:customStyle="1">
    <w:name w:val="Grid Table 5 Dark- Accent 1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deaf6" w:themeFill="accent1" w:themeFillTint="34"/>
    </w:tblPr>
    <w:tblStylePr w:type="band1Horz">
      <w:tcPr>
        <w:shd w:val="clear" w:color="ffffff" w:fill="b3d0eb" w:themeFill="accent1" w:themeFillTint="75"/>
      </w:tcPr>
    </w:tblStylePr>
    <w:tblStylePr w:type="band1Vert">
      <w:tcPr>
        <w:shd w:val="clear" w:color="ffffff" w:fill="b3d0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5b9bd5" w:themeFill="accent1"/>
        <w:tcBorders>
          <w:top w:val="single" w:color="FFFFFF" w:themeColor="light1" w:sz="4" w:space="0"/>
        </w:tcBorders>
      </w:tcPr>
    </w:tblStylePr>
  </w:style>
  <w:style w:type="table" w:styleId="762" w:customStyle="1">
    <w:name w:val="Grid Table 5 Dark - Accent 2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be5d6" w:themeFill="accent2" w:themeFillTint="32"/>
    </w:tblPr>
    <w:tblStylePr w:type="band1Horz">
      <w:tcPr>
        <w:shd w:val="clear" w:color="ffffff" w:fill="f6c3a0" w:themeFill="accent2" w:themeFillTint="75"/>
      </w:tcPr>
    </w:tblStylePr>
    <w:tblStylePr w:type="band1Vert">
      <w:tcPr>
        <w:shd w:val="clear" w:color="ffffff" w:fill="f6c3a0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ed7d31" w:themeFill="accent2"/>
        <w:tcBorders>
          <w:top w:val="single" w:color="FFFFFF" w:themeColor="light1" w:sz="4" w:space="0"/>
        </w:tcBorders>
      </w:tcPr>
    </w:tblStylePr>
  </w:style>
  <w:style w:type="table" w:styleId="763" w:customStyle="1">
    <w:name w:val="Grid Table 5 Dark - Accent 3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cecec" w:themeFill="accent3" w:themeFillTint="34"/>
    </w:tblPr>
    <w:tblStylePr w:type="band1Horz">
      <w:tcPr>
        <w:shd w:val="clear" w:color="ffffff" w:fill="d5d5d5" w:themeFill="accent3" w:themeFillTint="75"/>
      </w:tcPr>
    </w:tblStylePr>
    <w:tblStylePr w:type="band1Vert">
      <w:tcPr>
        <w:shd w:val="clear" w:color="ffffff" w:fill="d5d5d5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a5a5a5" w:themeFill="accent3"/>
        <w:tcBorders>
          <w:top w:val="single" w:color="FFFFFF" w:themeColor="light1" w:sz="4" w:space="0"/>
        </w:tcBorders>
      </w:tcPr>
    </w:tblStylePr>
  </w:style>
  <w:style w:type="table" w:styleId="764" w:customStyle="1">
    <w:name w:val="Grid Table 5 Dark- Accent 4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fff2cb" w:themeFill="accent4" w:themeFillTint="34"/>
    </w:tblPr>
    <w:tblStylePr w:type="band1Horz">
      <w:tcPr>
        <w:shd w:val="clear" w:color="ffffff" w:fill="ffe28a" w:themeFill="accent4" w:themeFillTint="75"/>
      </w:tcPr>
    </w:tblStylePr>
    <w:tblStylePr w:type="band1Vert">
      <w:tcPr>
        <w:shd w:val="clear" w:color="ffffff" w:fill="ffe28a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ffc000" w:themeFill="accent4"/>
        <w:tcBorders>
          <w:top w:val="single" w:color="FFFFFF" w:themeColor="light1" w:sz="4" w:space="0"/>
        </w:tcBorders>
      </w:tcPr>
    </w:tblStylePr>
  </w:style>
  <w:style w:type="table" w:styleId="765" w:customStyle="1">
    <w:name w:val="Grid Table 5 Dark - Accent 5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d8e2f3" w:themeFill="accent5" w:themeFillTint="34"/>
    </w:tblPr>
    <w:tblStylePr w:type="band1Horz">
      <w:tcPr>
        <w:shd w:val="clear" w:color="ffffff" w:fill="a9bee4" w:themeFill="accent5" w:themeFillTint="75"/>
      </w:tcPr>
    </w:tblStylePr>
    <w:tblStylePr w:type="band1Vert">
      <w:tcPr>
        <w:shd w:val="clear" w:color="ffffff" w:fill="a9be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4472c4" w:themeFill="accent5"/>
        <w:tcBorders>
          <w:top w:val="single" w:color="FFFFFF" w:themeColor="light1" w:sz="4" w:space="0"/>
        </w:tcBorders>
      </w:tcPr>
    </w:tblStylePr>
  </w:style>
  <w:style w:type="table" w:styleId="766" w:customStyle="1">
    <w:name w:val="Grid Table 5 Dark - Accent 6"/>
    <w:basedOn w:val="70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fff" w:fill="e1efd8" w:themeFill="accent6" w:themeFillTint="34"/>
    </w:tblPr>
    <w:tblStylePr w:type="band1Horz">
      <w:tcPr>
        <w:shd w:val="clear" w:color="ffffff" w:fill="bcdba8" w:themeFill="accent6" w:themeFillTint="75"/>
      </w:tcPr>
    </w:tblStylePr>
    <w:tblStylePr w:type="band1Vert">
      <w:tcPr>
        <w:shd w:val="clear" w:color="ffffff" w:fill="bc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fill="70ad47" w:themeFill="accent6"/>
        <w:tcBorders>
          <w:top w:val="single" w:color="FFFFFF" w:themeColor="light1" w:sz="4" w:space="0"/>
        </w:tcBorders>
      </w:tcPr>
    </w:tblStylePr>
  </w:style>
  <w:style w:type="table" w:styleId="767" w:customStyle="1">
    <w:name w:val="Таблица-сетк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cbcbcb" w:themeFill="text1" w:themeFillTint="34"/>
      </w:tcPr>
    </w:tblStylePr>
    <w:tblStylePr w:type="band1Vert"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68" w:customStyle="1">
    <w:name w:val="Grid Table 6 Colorful - Accent 1"/>
    <w:basedOn w:val="70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b/>
        <w:color w:val="acccea" w:themeColor="accent1" w:themeTint="80" w:themeShade="95"/>
      </w:rPr>
    </w:tblStylePr>
    <w:tblStylePr w:type="firstRow">
      <w:rPr>
        <w:b/>
        <w:color w:val="acccea" w:themeColor="accent1" w:themeTint="80" w:themeShade="95"/>
      </w:r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</w:tblStylePr>
    <w:tblStylePr w:type="lastRow">
      <w:rPr>
        <w:b/>
        <w:color w:val="acccea" w:themeColor="accent1" w:themeTint="80" w:themeShade="95"/>
      </w:rPr>
    </w:tblStylePr>
  </w:style>
  <w:style w:type="table" w:styleId="769" w:customStyle="1">
    <w:name w:val="Grid Table 6 Colorful - Accent 2"/>
    <w:basedOn w:val="70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</w:tblStylePr>
  </w:style>
  <w:style w:type="table" w:styleId="770" w:customStyle="1">
    <w:name w:val="Grid Table 6 Colorful - Accent 3"/>
    <w:basedOn w:val="70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b/>
        <w:color w:val="a5a5a5" w:themeColor="accent3" w:themeTint="FE" w:themeShade="95"/>
      </w:rPr>
    </w:tblStylePr>
    <w:tblStylePr w:type="firstRow">
      <w:rPr>
        <w:b/>
        <w:color w:val="a5a5a5" w:themeColor="accent3" w:themeTint="FE" w:themeShade="95"/>
      </w:r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</w:tblStylePr>
    <w:tblStylePr w:type="lastRow">
      <w:rPr>
        <w:b/>
        <w:color w:val="a5a5a5" w:themeColor="accent3" w:themeTint="FE" w:themeShade="95"/>
      </w:rPr>
    </w:tblStylePr>
  </w:style>
  <w:style w:type="table" w:styleId="771" w:customStyle="1">
    <w:name w:val="Grid Table 6 Colorful - Accent 4"/>
    <w:basedOn w:val="70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</w:tblStylePr>
  </w:style>
  <w:style w:type="table" w:styleId="772" w:customStyle="1">
    <w:name w:val="Grid Table 6 Colorful - Accent 5"/>
    <w:basedOn w:val="70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3" w:customStyle="1">
    <w:name w:val="Grid Table 6 Colorful - Accent 6"/>
    <w:basedOn w:val="70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b/>
        <w:color w:val="254175" w:themeColor="accent5" w:themeShade="95"/>
      </w:rPr>
    </w:tblStylePr>
    <w:tblStylePr w:type="firstRow">
      <w:rPr>
        <w:b/>
        <w:color w:val="254175" w:themeColor="accent5" w:themeShade="95"/>
      </w:r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</w:tblStylePr>
    <w:tblStylePr w:type="lastRow">
      <w:rPr>
        <w:b/>
        <w:color w:val="254175" w:themeColor="accent5" w:themeShade="95"/>
      </w:rPr>
    </w:tblStylePr>
  </w:style>
  <w:style w:type="table" w:styleId="774" w:customStyle="1">
    <w:name w:val="Таблица-сетка 7 цветная1"/>
    <w:basedOn w:val="70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f2f2f2" w:themeFill="text1" w:themeFillTint="0D"/>
      </w:tcPr>
    </w:tblStylePr>
    <w:tblStylePr w:type="band1Vert"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5" w:customStyle="1">
    <w:name w:val="Grid Table 7 Colorful - Accent 1"/>
    <w:basedOn w:val="70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band1Horz">
      <w:rPr>
        <w:rFonts w:ascii="Arial" w:hAnsi="Arial"/>
        <w:color w:val="acccea" w:themeColor="accent1" w:themeTint="80" w:themeShade="95"/>
        <w:sz w:val="22"/>
      </w:rPr>
      <w:tcPr>
        <w:shd w:val="clear" w:color="ffffff" w:fill="ddeaf6" w:themeFill="accent1" w:themeFillTint="34"/>
      </w:tcPr>
    </w:tblStylePr>
    <w:tblStylePr w:type="band1Vert">
      <w:tcPr>
        <w:shd w:val="clear" w:color="ffffff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cPr>
        <w:shd w:val="clear" w:color="ffffff" w:fill="ffffff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cPr>
        <w:shd w:val="clear" w:color="ffffff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6" w:customStyle="1">
    <w:name w:val="Grid Table 7 Colorful - Accent 2"/>
    <w:basedOn w:val="70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fffff" w:fill="fbe5d6" w:themeFill="accent2" w:themeFillTint="32"/>
      </w:tcPr>
    </w:tblStylePr>
    <w:tblStylePr w:type="band1Vert">
      <w:tcPr>
        <w:shd w:val="clear" w:color="ffffff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7" w:customStyle="1">
    <w:name w:val="Grid Table 7 Colorful - Accent 3"/>
    <w:basedOn w:val="70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band1Horz">
      <w:rPr>
        <w:rFonts w:ascii="Arial" w:hAnsi="Arial"/>
        <w:color w:val="a5a5a5" w:themeColor="accent3" w:themeTint="FE" w:themeShade="95"/>
        <w:sz w:val="22"/>
      </w:rPr>
      <w:tcPr>
        <w:shd w:val="clear" w:color="ffffff" w:fill="ececec" w:themeFill="accent3" w:themeFillTint="34"/>
      </w:tcPr>
    </w:tblStylePr>
    <w:tblStylePr w:type="band1Vert">
      <w:tcPr>
        <w:shd w:val="clear" w:color="ffffff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cPr>
        <w:shd w:val="clear" w:color="ffffff" w:fill="ffffff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cPr>
        <w:shd w:val="clear" w:color="ffffff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8" w:customStyle="1">
    <w:name w:val="Grid Table 7 Colorful - Accent 4"/>
    <w:basedOn w:val="70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fff" w:fill="fff2cb" w:themeFill="accent4" w:themeFillTint="34"/>
      </w:tcPr>
    </w:tblStylePr>
    <w:tblStylePr w:type="band1Vert">
      <w:tcPr>
        <w:shd w:val="clear" w:color="ffffff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79" w:customStyle="1">
    <w:name w:val="Grid Table 7 Colorful - Accent 5"/>
    <w:basedOn w:val="70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band1Horz">
      <w:rPr>
        <w:rFonts w:ascii="Arial" w:hAnsi="Arial"/>
        <w:color w:val="254175" w:themeColor="accent5" w:themeShade="95"/>
        <w:sz w:val="22"/>
      </w:rPr>
      <w:tcPr>
        <w:shd w:val="clear" w:color="ffffff" w:fill="d8e2f3" w:themeFill="accent5" w:themeFillTint="34"/>
      </w:tcPr>
    </w:tblStylePr>
    <w:tblStylePr w:type="band1Vert">
      <w:tcPr>
        <w:shd w:val="clear" w:color="ffffff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cPr>
        <w:shd w:val="clear" w:color="ffffff" w:fill="ffffff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cPr>
        <w:shd w:val="clear" w:color="ffffff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0" w:customStyle="1">
    <w:name w:val="Grid Table 7 Colorful - Accent 6"/>
    <w:basedOn w:val="70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band1Horz">
      <w:rPr>
        <w:rFonts w:ascii="Arial" w:hAnsi="Arial"/>
        <w:color w:val="416429" w:themeColor="accent6" w:themeShade="95"/>
        <w:sz w:val="22"/>
      </w:rPr>
      <w:tcPr>
        <w:shd w:val="clear" w:color="ffffff" w:fill="e1efd8" w:themeFill="accent6" w:themeFillTint="34"/>
      </w:tcPr>
    </w:tblStylePr>
    <w:tblStylePr w:type="band1Vert">
      <w:tcPr>
        <w:shd w:val="clear" w:color="ffffff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cPr>
        <w:shd w:val="clear" w:color="ffffff" w:fill="ffffff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cPr>
        <w:shd w:val="clear" w:color="ffffff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781" w:customStyle="1">
    <w:name w:val="Список-таблица 1 светлая1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2" w:customStyle="1">
    <w:name w:val="List Table 1 Light - Accent 1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 w:customStyle="1">
    <w:name w:val="List Table 1 Light - Accent 2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 w:customStyle="1">
    <w:name w:val="List Table 1 Light - Accent 3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 w:customStyle="1">
    <w:name w:val="List Table 1 Light - Accent 4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 w:customStyle="1">
    <w:name w:val="List Table 1 Light - Accent 5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 w:customStyle="1">
    <w:name w:val="List Table 1 Light - Accent 6"/>
    <w:basedOn w:val="701"/>
    <w:uiPriority w:val="99"/>
    <w:tblPr>
      <w:tblStyleRowBandSize w:val="1"/>
      <w:tblStyleColBandSize w:val="1"/>
    </w:tblPr>
    <w:tblStylePr w:type="band1Horz"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 w:customStyle="1">
    <w:name w:val="Список-таблица 21"/>
    <w:basedOn w:val="70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789" w:customStyle="1">
    <w:name w:val="List Table 2 - Accent 1"/>
    <w:basedOn w:val="70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5e5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</w:style>
  <w:style w:type="table" w:styleId="790" w:customStyle="1">
    <w:name w:val="List Table 2 - Accent 2"/>
    <w:basedOn w:val="70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</w:style>
  <w:style w:type="table" w:styleId="791" w:customStyle="1">
    <w:name w:val="List Table 2 - Accent 3"/>
    <w:basedOn w:val="70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</w:style>
  <w:style w:type="table" w:styleId="792" w:customStyle="1">
    <w:name w:val="List Table 2 - Accent 4"/>
    <w:basedOn w:val="70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</w:style>
  <w:style w:type="table" w:styleId="793" w:customStyle="1">
    <w:name w:val="List Table 2 - Accent 5"/>
    <w:basedOn w:val="70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fdb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</w:style>
  <w:style w:type="table" w:styleId="794" w:customStyle="1">
    <w:name w:val="List Table 2 - Accent 6"/>
    <w:basedOn w:val="70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</w:style>
  <w:style w:type="table" w:styleId="795" w:customStyle="1">
    <w:name w:val="Список-таблица 3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6" w:customStyle="1">
    <w:name w:val="List Table 3 - Accent 1"/>
    <w:basedOn w:val="70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7" w:customStyle="1">
    <w:name w:val="List Table 3 - Accent 2"/>
    <w:basedOn w:val="70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4b18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 w:customStyle="1">
    <w:name w:val="List Table 3 - Accent 3"/>
    <w:basedOn w:val="70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9" w:customStyle="1">
    <w:name w:val="List Table 3 - Accent 4"/>
    <w:basedOn w:val="70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d865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 w:customStyle="1">
    <w:name w:val="List Table 3 - Accent 5"/>
    <w:basedOn w:val="70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8da9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 w:customStyle="1">
    <w:name w:val="List Table 3 - Accent 6"/>
    <w:basedOn w:val="70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a9d08e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 w:customStyle="1">
    <w:name w:val="Список-таблица 41"/>
    <w:basedOn w:val="70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 w:customStyle="1">
    <w:name w:val="List Table 4 - Accent 1"/>
    <w:basedOn w:val="70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5e5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5e5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 w:customStyle="1">
    <w:name w:val="List Table 4 - Accent 2"/>
    <w:basedOn w:val="70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 w:customStyle="1">
    <w:name w:val="List Table 4 - Accent 3"/>
    <w:basedOn w:val="70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 w:customStyle="1">
    <w:name w:val="List Table 4 - Accent 4"/>
    <w:basedOn w:val="70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 w:customStyle="1">
    <w:name w:val="List Table 4 - Accent 5"/>
    <w:basedOn w:val="70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cfdb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cfdb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 w:customStyle="1">
    <w:name w:val="List Table 4 - Accent 6"/>
    <w:basedOn w:val="70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fill="daebc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 w:customStyle="1">
    <w:name w:val="Список-таблица 5 темная1"/>
    <w:basedOn w:val="70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ffffff" w:fill="7f7f7f" w:themeFill="text1" w:themeFillTint="80"/>
    </w:tblPr>
    <w:tblStylePr w:type="band1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0" w:customStyle="1">
    <w:name w:val="List Table 5 Dark - Accent 1"/>
    <w:basedOn w:val="70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ffffff" w:fill="5b9bd5" w:themeFill="accent1"/>
    </w:tblPr>
    <w:tblStylePr w:type="band1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1" w:customStyle="1">
    <w:name w:val="List Table 5 Dark - Accent 2"/>
    <w:basedOn w:val="70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fffff" w:fill="f4b184" w:themeFill="accent2" w:themeFillTint="97"/>
    </w:tblPr>
    <w:tblStylePr w:type="band1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2" w:customStyle="1">
    <w:name w:val="List Table 5 Dark - Accent 3"/>
    <w:basedOn w:val="70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ffffff" w:fill="c9c9c9" w:themeFill="accent3" w:themeFillTint="98"/>
    </w:tblPr>
    <w:tblStylePr w:type="band1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3" w:customStyle="1">
    <w:name w:val="List Table 5 Dark - Accent 4"/>
    <w:basedOn w:val="70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ffff" w:fill="ffd865" w:themeFill="accent4" w:themeFillTint="9A"/>
    </w:tblPr>
    <w:tblStylePr w:type="band1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4" w:customStyle="1">
    <w:name w:val="List Table 5 Dark - Accent 5"/>
    <w:basedOn w:val="70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ffffff" w:fill="8da9db" w:themeFill="accent5" w:themeFillTint="9A"/>
    </w:tblPr>
    <w:tblStylePr w:type="band1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5" w:customStyle="1">
    <w:name w:val="List Table 5 Dark - Accent 6"/>
    <w:basedOn w:val="70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ffffff" w:fill="a9d08e" w:themeFill="accent6" w:themeFillTint="98"/>
    </w:tblPr>
    <w:tblStylePr w:type="band1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fffff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fffff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16" w:customStyle="1">
    <w:name w:val="Список-таблица 6 цветная1"/>
    <w:basedOn w:val="70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17" w:customStyle="1">
    <w:name w:val="List Table 6 Colorful - Accent 1"/>
    <w:basedOn w:val="70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b/>
        <w:color w:val="245a8d" w:themeColor="accent1" w:themeShade="95"/>
      </w:rPr>
    </w:tblStylePr>
    <w:tblStylePr w:type="firstRow">
      <w:rPr>
        <w:b/>
        <w:color w:val="245a8d" w:themeColor="accent1" w:themeShade="95"/>
      </w:r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</w:tblStylePr>
    <w:tblStylePr w:type="lastRow">
      <w:rPr>
        <w:b/>
        <w:color w:val="245a8d" w:themeColor="accent1" w:themeShade="95"/>
      </w:rPr>
      <w:tcPr>
        <w:tcBorders>
          <w:top w:val="single" w:color="5B9BD5" w:themeColor="accent1" w:sz="4" w:space="0"/>
        </w:tcBorders>
      </w:tcPr>
    </w:tblStylePr>
  </w:style>
  <w:style w:type="table" w:styleId="818" w:customStyle="1">
    <w:name w:val="List Table 6 Colorful - Accent 2"/>
    <w:basedOn w:val="70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b/>
        <w:color w:val="f4b184" w:themeColor="accent2" w:themeTint="97" w:themeShade="95"/>
      </w:rPr>
    </w:tblStylePr>
    <w:tblStylePr w:type="firstRow">
      <w:rPr>
        <w:b/>
        <w:color w:val="f4b184" w:themeColor="accent2" w:themeTint="97" w:themeShade="95"/>
      </w:r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</w:tblStylePr>
    <w:tblStylePr w:type="lastRow">
      <w:rPr>
        <w:b/>
        <w:color w:val="f4b184" w:themeColor="accent2" w:themeTint="97" w:themeShade="95"/>
      </w:rPr>
      <w:tcPr>
        <w:tcBorders>
          <w:top w:val="single" w:color="F4B184" w:themeColor="accent2" w:themeTint="97" w:sz="4" w:space="0"/>
        </w:tcBorders>
      </w:tcPr>
    </w:tblStylePr>
  </w:style>
  <w:style w:type="table" w:styleId="819" w:customStyle="1">
    <w:name w:val="List Table 6 Colorful - Accent 3"/>
    <w:basedOn w:val="70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b/>
        <w:color w:val="c9c9c9" w:themeColor="accent3" w:themeTint="98" w:themeShade="95"/>
      </w:rPr>
    </w:tblStylePr>
    <w:tblStylePr w:type="firstRow">
      <w:rPr>
        <w:b/>
        <w:color w:val="c9c9c9" w:themeColor="accent3" w:themeTint="98" w:themeShade="95"/>
      </w:r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</w:tblStylePr>
    <w:tblStylePr w:type="lastRow">
      <w:rPr>
        <w:b/>
        <w:color w:val="c9c9c9" w:themeColor="accent3" w:themeTint="98" w:themeShade="95"/>
      </w:rPr>
      <w:tcPr>
        <w:tcBorders>
          <w:top w:val="single" w:color="C9C9C9" w:themeColor="accent3" w:themeTint="98" w:sz="4" w:space="0"/>
        </w:tcBorders>
      </w:tcPr>
    </w:tblStylePr>
  </w:style>
  <w:style w:type="table" w:styleId="820" w:customStyle="1">
    <w:name w:val="List Table 6 Colorful - Accent 4"/>
    <w:basedOn w:val="70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b/>
        <w:color w:val="ffd865" w:themeColor="accent4" w:themeTint="9A" w:themeShade="95"/>
      </w:rPr>
    </w:tblStylePr>
    <w:tblStylePr w:type="firstRow">
      <w:rPr>
        <w:b/>
        <w:color w:val="ffd865" w:themeColor="accent4" w:themeTint="9A" w:themeShade="95"/>
      </w:r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</w:tblStylePr>
    <w:tblStylePr w:type="lastRow">
      <w:rPr>
        <w:b/>
        <w:color w:val="ffd865" w:themeColor="accent4" w:themeTint="9A" w:themeShade="95"/>
      </w:rPr>
      <w:tcPr>
        <w:tcBorders>
          <w:top w:val="single" w:color="FFD865" w:themeColor="accent4" w:themeTint="9A" w:sz="4" w:space="0"/>
        </w:tcBorders>
      </w:tcPr>
    </w:tblStylePr>
  </w:style>
  <w:style w:type="table" w:styleId="821" w:customStyle="1">
    <w:name w:val="List Table 6 Colorful - Accent 5"/>
    <w:basedOn w:val="70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b/>
        <w:color w:val="8da9db" w:themeColor="accent5" w:themeTint="9A" w:themeShade="95"/>
      </w:rPr>
    </w:tblStylePr>
    <w:tblStylePr w:type="firstRow">
      <w:rPr>
        <w:b/>
        <w:color w:val="8da9db" w:themeColor="accent5" w:themeTint="9A" w:themeShade="95"/>
      </w:r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</w:tblStylePr>
    <w:tblStylePr w:type="lastRow">
      <w:rPr>
        <w:b/>
        <w:color w:val="8da9db" w:themeColor="accent5" w:themeTint="9A" w:themeShade="95"/>
      </w:rPr>
      <w:tcPr>
        <w:tcBorders>
          <w:top w:val="single" w:color="8DA9DB" w:themeColor="accent5" w:themeTint="9A" w:sz="4" w:space="0"/>
        </w:tcBorders>
      </w:tcPr>
    </w:tblStylePr>
  </w:style>
  <w:style w:type="table" w:styleId="822" w:customStyle="1">
    <w:name w:val="List Table 6 Colorful - Accent 6"/>
    <w:basedOn w:val="70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b/>
        <w:color w:val="a9d08e" w:themeColor="accent6" w:themeTint="98" w:themeShade="95"/>
      </w:rPr>
    </w:tblStylePr>
    <w:tblStylePr w:type="firstRow">
      <w:rPr>
        <w:b/>
        <w:color w:val="a9d08e" w:themeColor="accent6" w:themeTint="98" w:themeShade="95"/>
      </w:r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</w:tblStylePr>
    <w:tblStylePr w:type="lastRow">
      <w:rPr>
        <w:b/>
        <w:color w:val="a9d08e" w:themeColor="accent6" w:themeTint="98" w:themeShade="95"/>
      </w:rPr>
      <w:tcPr>
        <w:tcBorders>
          <w:top w:val="single" w:color="A9D08E" w:themeColor="accent6" w:themeTint="98" w:sz="4" w:space="0"/>
        </w:tcBorders>
      </w:tcPr>
    </w:tblStylePr>
  </w:style>
  <w:style w:type="table" w:styleId="823" w:customStyle="1">
    <w:name w:val="Список-таблица 7 цветная1"/>
    <w:basedOn w:val="70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fffff" w:fill="bfbfbf" w:themeFill="text1" w:themeFillTint="40"/>
      </w:tcPr>
    </w:tblStylePr>
    <w:tblStylePr w:type="band1Vert"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4" w:customStyle="1">
    <w:name w:val="List Table 7 Colorful - Accent 1"/>
    <w:basedOn w:val="70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band1Horz">
      <w:rPr>
        <w:rFonts w:ascii="Arial" w:hAnsi="Arial"/>
        <w:color w:val="245a8d" w:themeColor="accent1" w:themeShade="95"/>
        <w:sz w:val="22"/>
      </w:rPr>
      <w:tcPr>
        <w:shd w:val="clear" w:color="ffffff" w:fill="d5e5f4" w:themeFill="accent1" w:themeFillTint="40"/>
      </w:tcPr>
    </w:tblStylePr>
    <w:tblStylePr w:type="band1Vert">
      <w:tcPr>
        <w:shd w:val="clear" w:color="ffffff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cPr>
        <w:shd w:val="clear" w:color="ffffff" w:fill="ffffff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cPr>
        <w:shd w:val="clear" w:color="ffffff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5" w:customStyle="1">
    <w:name w:val="List Table 7 Colorful - Accent 2"/>
    <w:basedOn w:val="70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band1Horz">
      <w:rPr>
        <w:rFonts w:ascii="Arial" w:hAnsi="Arial"/>
        <w:color w:val="f4b184" w:themeColor="accent2" w:themeTint="97" w:themeShade="95"/>
        <w:sz w:val="22"/>
      </w:rPr>
      <w:tcPr>
        <w:shd w:val="clear" w:color="ffffff" w:fill="fadecb" w:themeFill="accent2" w:themeFillTint="40"/>
      </w:tcPr>
    </w:tblStylePr>
    <w:tblStylePr w:type="band1Vert">
      <w:tcPr>
        <w:shd w:val="clear" w:color="ffffff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cPr>
        <w:shd w:val="clear" w:color="ffffff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6" w:customStyle="1">
    <w:name w:val="List Table 7 Colorful - Accent 3"/>
    <w:basedOn w:val="70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band1Horz">
      <w:rPr>
        <w:rFonts w:ascii="Arial" w:hAnsi="Arial"/>
        <w:color w:val="c9c9c9" w:themeColor="accent3" w:themeTint="98" w:themeShade="95"/>
        <w:sz w:val="22"/>
      </w:rPr>
      <w:tcPr>
        <w:shd w:val="clear" w:color="ffffff" w:fill="e8e8e8" w:themeFill="accent3" w:themeFillTint="40"/>
      </w:tcPr>
    </w:tblStylePr>
    <w:tblStylePr w:type="band1Vert">
      <w:tcPr>
        <w:shd w:val="clear" w:color="ffffff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cPr>
        <w:shd w:val="clear" w:color="ffffff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7" w:customStyle="1">
    <w:name w:val="List Table 7 Colorful - Accent 4"/>
    <w:basedOn w:val="70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band1Horz">
      <w:rPr>
        <w:rFonts w:ascii="Arial" w:hAnsi="Arial"/>
        <w:color w:val="ffd865" w:themeColor="accent4" w:themeTint="9A" w:themeShade="95"/>
        <w:sz w:val="22"/>
      </w:rPr>
      <w:tcPr>
        <w:shd w:val="clear" w:color="ffffff" w:fill="ffefbf" w:themeFill="accent4" w:themeFillTint="40"/>
      </w:tcPr>
    </w:tblStylePr>
    <w:tblStylePr w:type="band1Vert">
      <w:tcPr>
        <w:shd w:val="clear" w:color="ffffff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cPr>
        <w:shd w:val="clear" w:color="ffffff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8" w:customStyle="1">
    <w:name w:val="List Table 7 Colorful - Accent 5"/>
    <w:basedOn w:val="70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band1Horz">
      <w:rPr>
        <w:rFonts w:ascii="Arial" w:hAnsi="Arial"/>
        <w:color w:val="8da9db" w:themeColor="accent5" w:themeTint="9A" w:themeShade="95"/>
        <w:sz w:val="22"/>
      </w:rPr>
      <w:tcPr>
        <w:shd w:val="clear" w:color="ffffff" w:fill="cfdbf0" w:themeFill="accent5" w:themeFillTint="40"/>
      </w:tcPr>
    </w:tblStylePr>
    <w:tblStylePr w:type="band1Vert">
      <w:tcPr>
        <w:shd w:val="clear" w:color="ffffff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ffffff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cPr>
        <w:shd w:val="clear" w:color="ffffff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29" w:customStyle="1">
    <w:name w:val="List Table 7 Colorful - Accent 6"/>
    <w:basedOn w:val="70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band1Horz">
      <w:rPr>
        <w:rFonts w:ascii="Arial" w:hAnsi="Arial"/>
        <w:color w:val="a9d08e" w:themeColor="accent6" w:themeTint="98" w:themeShade="95"/>
        <w:sz w:val="22"/>
      </w:rPr>
      <w:tcPr>
        <w:shd w:val="clear" w:color="ffffff" w:fill="daebcf" w:themeFill="accent6" w:themeFillTint="40"/>
      </w:tcPr>
    </w:tblStylePr>
    <w:tblStylePr w:type="band1Vert">
      <w:tcPr>
        <w:shd w:val="clear" w:color="ffffff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jc w:val="right"/>
      </w:pPr>
      <w:tcPr>
        <w:shd w:val="clear" w:color="ffffff" w:fill="ffffff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cPr>
        <w:shd w:val="clear" w:color="ffffff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</w:style>
  <w:style w:type="table" w:styleId="830" w:customStyle="1">
    <w:name w:val="Lined - Accent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1" w:customStyle="1">
    <w:name w:val="Lined - Accent 1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</w:style>
  <w:style w:type="table" w:styleId="832" w:customStyle="1">
    <w:name w:val="Lined - Accent 2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</w:style>
  <w:style w:type="table" w:styleId="833" w:customStyle="1">
    <w:name w:val="Lined - Accent 3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34" w:customStyle="1">
    <w:name w:val="Lined - Accent 4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</w:style>
  <w:style w:type="table" w:styleId="835" w:customStyle="1">
    <w:name w:val="Lined - Accent 5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</w:style>
  <w:style w:type="table" w:styleId="836" w:customStyle="1">
    <w:name w:val="Lined - Accent 6"/>
    <w:basedOn w:val="701"/>
    <w:uiPriority w:val="99"/>
    <w:rPr>
      <w:color w:val="404040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</w:style>
  <w:style w:type="table" w:styleId="837" w:customStyle="1">
    <w:name w:val="Bordered &amp; Lined - Accent"/>
    <w:basedOn w:val="701"/>
    <w:uiPriority w:val="99"/>
    <w:rPr>
      <w:color w:val="40404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f7f7f" w:themeFill="text1" w:themeFillTint="80"/>
      </w:tcPr>
    </w:tblStylePr>
  </w:style>
  <w:style w:type="table" w:styleId="838" w:customStyle="1">
    <w:name w:val="Bordered &amp; Lined - Accent 1"/>
    <w:basedOn w:val="701"/>
    <w:uiPriority w:val="99"/>
    <w:rPr>
      <w:color w:val="40404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cbdf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cbdf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68a2d8" w:themeFill="accent1" w:themeFillTint="EA"/>
      </w:tcPr>
    </w:tblStylePr>
  </w:style>
  <w:style w:type="table" w:styleId="839" w:customStyle="1">
    <w:name w:val="Bordered &amp; Lined - Accent 2"/>
    <w:basedOn w:val="701"/>
    <w:uiPriority w:val="99"/>
    <w:rPr>
      <w:color w:val="40404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4b184" w:themeFill="accent2" w:themeFillTint="97"/>
      </w:tcPr>
    </w:tblStylePr>
  </w:style>
  <w:style w:type="table" w:styleId="840" w:customStyle="1">
    <w:name w:val="Bordered &amp; Lined - Accent 3"/>
    <w:basedOn w:val="701"/>
    <w:uiPriority w:val="99"/>
    <w:rPr>
      <w:color w:val="40404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cece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a5a5a5" w:themeFill="accent3" w:themeFillTint="FE"/>
      </w:tcPr>
    </w:tblStylePr>
  </w:style>
  <w:style w:type="table" w:styleId="841" w:customStyle="1">
    <w:name w:val="Bordered &amp; Lined - Accent 4"/>
    <w:basedOn w:val="701"/>
    <w:uiPriority w:val="99"/>
    <w:rPr>
      <w:color w:val="40404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ff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ffd865" w:themeFill="accent4" w:themeFillTint="9A"/>
      </w:tcPr>
    </w:tblStylePr>
  </w:style>
  <w:style w:type="table" w:styleId="842" w:customStyle="1">
    <w:name w:val="Bordered &amp; Lined - Accent 5"/>
    <w:basedOn w:val="701"/>
    <w:uiPriority w:val="99"/>
    <w:rPr>
      <w:color w:val="40404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d8e2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4472c4" w:themeFill="accent5"/>
      </w:tcPr>
    </w:tblStylePr>
  </w:style>
  <w:style w:type="table" w:styleId="843" w:customStyle="1">
    <w:name w:val="Bordered &amp; Lined - Accent 6"/>
    <w:basedOn w:val="701"/>
    <w:uiPriority w:val="99"/>
    <w:rPr>
      <w:color w:val="40404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fill="e1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fill="70ad47" w:themeFill="accent6"/>
      </w:tcPr>
    </w:tblStylePr>
  </w:style>
  <w:style w:type="table" w:styleId="844" w:customStyle="1">
    <w:name w:val="Bordered"/>
    <w:basedOn w:val="70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45" w:customStyle="1">
    <w:name w:val="Bordered - Accent 1"/>
    <w:basedOn w:val="70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B9BD5" w:themeColor="accent1" w:sz="12" w:space="0"/>
        </w:tcBorders>
      </w:tcPr>
    </w:tblStylePr>
  </w:style>
  <w:style w:type="table" w:styleId="846" w:customStyle="1">
    <w:name w:val="Bordered - Accent 2"/>
    <w:basedOn w:val="70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4B184" w:themeColor="accent2" w:themeTint="97" w:sz="12" w:space="0"/>
        </w:tcBorders>
      </w:tcPr>
    </w:tblStylePr>
  </w:style>
  <w:style w:type="table" w:styleId="847" w:customStyle="1">
    <w:name w:val="Bordered - Accent 3"/>
    <w:basedOn w:val="70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9C9C9" w:themeColor="accent3" w:themeTint="98" w:sz="12" w:space="0"/>
        </w:tcBorders>
      </w:tcPr>
    </w:tblStylePr>
  </w:style>
  <w:style w:type="table" w:styleId="848" w:customStyle="1">
    <w:name w:val="Bordered - Accent 4"/>
    <w:basedOn w:val="70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FD865" w:themeColor="accent4" w:themeTint="9A" w:sz="12" w:space="0"/>
        </w:tcBorders>
      </w:tcPr>
    </w:tblStylePr>
  </w:style>
  <w:style w:type="table" w:styleId="849" w:customStyle="1">
    <w:name w:val="Bordered - Accent 5"/>
    <w:basedOn w:val="70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DA9DB" w:themeColor="accent5" w:themeTint="9A" w:sz="12" w:space="0"/>
        </w:tcBorders>
      </w:tcPr>
    </w:tblStylePr>
  </w:style>
  <w:style w:type="table" w:styleId="850" w:customStyle="1">
    <w:name w:val="Bordered - Accent 6"/>
    <w:basedOn w:val="70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A9D08E" w:themeColor="accent6" w:themeTint="98" w:sz="12" w:space="0"/>
        </w:tcBorders>
      </w:tcPr>
    </w:tblStylePr>
  </w:style>
  <w:style w:type="character" w:styleId="851">
    <w:name w:val="Hyperlink"/>
    <w:uiPriority w:val="99"/>
    <w:unhideWhenUsed/>
    <w:rPr>
      <w:color w:val="0563c1" w:themeColor="hyperlink"/>
      <w:u w:val="single"/>
    </w:rPr>
  </w:style>
  <w:style w:type="paragraph" w:styleId="852">
    <w:name w:val="footnote text"/>
    <w:basedOn w:val="690"/>
    <w:link w:val="853"/>
    <w:uiPriority w:val="99"/>
    <w:semiHidden/>
    <w:unhideWhenUsed/>
    <w:pPr>
      <w:spacing w:after="40"/>
    </w:pPr>
    <w:rPr>
      <w:sz w:val="18"/>
    </w:rPr>
  </w:style>
  <w:style w:type="character" w:styleId="853" w:customStyle="1">
    <w:name w:val="Текст сноски Знак"/>
    <w:link w:val="852"/>
    <w:uiPriority w:val="99"/>
    <w:rPr>
      <w:sz w:val="18"/>
    </w:rPr>
  </w:style>
  <w:style w:type="character" w:styleId="854">
    <w:name w:val="footnote reference"/>
    <w:basedOn w:val="700"/>
    <w:uiPriority w:val="99"/>
    <w:unhideWhenUsed/>
    <w:rPr>
      <w:vertAlign w:val="superscript"/>
    </w:rPr>
  </w:style>
  <w:style w:type="paragraph" w:styleId="855">
    <w:name w:val="endnote text"/>
    <w:basedOn w:val="690"/>
    <w:link w:val="856"/>
    <w:uiPriority w:val="99"/>
    <w:semiHidden/>
    <w:unhideWhenUsed/>
    <w:rPr>
      <w:sz w:val="20"/>
    </w:rPr>
  </w:style>
  <w:style w:type="character" w:styleId="856" w:customStyle="1">
    <w:name w:val="Текст концевой сноски Знак"/>
    <w:link w:val="855"/>
    <w:uiPriority w:val="99"/>
    <w:rPr>
      <w:sz w:val="20"/>
    </w:rPr>
  </w:style>
  <w:style w:type="character" w:styleId="857">
    <w:name w:val="endnote reference"/>
    <w:basedOn w:val="700"/>
    <w:uiPriority w:val="99"/>
    <w:semiHidden/>
    <w:unhideWhenUsed/>
    <w:rPr>
      <w:vertAlign w:val="superscript"/>
    </w:rPr>
  </w:style>
  <w:style w:type="paragraph" w:styleId="858">
    <w:name w:val="toc 1"/>
    <w:basedOn w:val="690"/>
    <w:next w:val="690"/>
    <w:uiPriority w:val="39"/>
    <w:unhideWhenUsed/>
    <w:pPr>
      <w:spacing w:after="57"/>
    </w:pPr>
  </w:style>
  <w:style w:type="paragraph" w:styleId="859">
    <w:name w:val="toc 2"/>
    <w:basedOn w:val="690"/>
    <w:next w:val="690"/>
    <w:uiPriority w:val="39"/>
    <w:unhideWhenUsed/>
    <w:pPr>
      <w:ind w:left="283"/>
      <w:spacing w:after="57"/>
    </w:pPr>
  </w:style>
  <w:style w:type="paragraph" w:styleId="860">
    <w:name w:val="toc 3"/>
    <w:basedOn w:val="690"/>
    <w:next w:val="690"/>
    <w:uiPriority w:val="39"/>
    <w:unhideWhenUsed/>
    <w:pPr>
      <w:ind w:left="567"/>
      <w:spacing w:after="57"/>
    </w:pPr>
  </w:style>
  <w:style w:type="paragraph" w:styleId="861">
    <w:name w:val="toc 4"/>
    <w:basedOn w:val="690"/>
    <w:next w:val="690"/>
    <w:uiPriority w:val="39"/>
    <w:unhideWhenUsed/>
    <w:pPr>
      <w:ind w:left="850"/>
      <w:spacing w:after="57"/>
    </w:pPr>
  </w:style>
  <w:style w:type="paragraph" w:styleId="862">
    <w:name w:val="toc 5"/>
    <w:basedOn w:val="690"/>
    <w:next w:val="690"/>
    <w:uiPriority w:val="39"/>
    <w:unhideWhenUsed/>
    <w:pPr>
      <w:ind w:left="1134"/>
      <w:spacing w:after="57"/>
    </w:pPr>
  </w:style>
  <w:style w:type="paragraph" w:styleId="863">
    <w:name w:val="toc 6"/>
    <w:basedOn w:val="690"/>
    <w:next w:val="690"/>
    <w:uiPriority w:val="39"/>
    <w:unhideWhenUsed/>
    <w:pPr>
      <w:ind w:left="1417"/>
      <w:spacing w:after="57"/>
    </w:pPr>
  </w:style>
  <w:style w:type="paragraph" w:styleId="864">
    <w:name w:val="toc 7"/>
    <w:basedOn w:val="690"/>
    <w:next w:val="690"/>
    <w:uiPriority w:val="39"/>
    <w:unhideWhenUsed/>
    <w:pPr>
      <w:ind w:left="1701"/>
      <w:spacing w:after="57"/>
    </w:pPr>
  </w:style>
  <w:style w:type="paragraph" w:styleId="865">
    <w:name w:val="toc 8"/>
    <w:basedOn w:val="690"/>
    <w:next w:val="690"/>
    <w:uiPriority w:val="39"/>
    <w:unhideWhenUsed/>
    <w:pPr>
      <w:ind w:left="1984"/>
      <w:spacing w:after="57"/>
    </w:pPr>
  </w:style>
  <w:style w:type="paragraph" w:styleId="866">
    <w:name w:val="toc 9"/>
    <w:basedOn w:val="690"/>
    <w:next w:val="690"/>
    <w:uiPriority w:val="39"/>
    <w:unhideWhenUsed/>
    <w:pPr>
      <w:ind w:left="2268"/>
      <w:spacing w:after="57"/>
    </w:pPr>
  </w:style>
  <w:style w:type="paragraph" w:styleId="867">
    <w:name w:val="TOC Heading"/>
    <w:uiPriority w:val="39"/>
    <w:unhideWhenUsed/>
  </w:style>
  <w:style w:type="paragraph" w:styleId="868">
    <w:name w:val="table of figures"/>
    <w:basedOn w:val="690"/>
    <w:next w:val="690"/>
    <w:uiPriority w:val="99"/>
    <w:unhideWhenUsed/>
  </w:style>
  <w:style w:type="table" w:styleId="869">
    <w:name w:val="Table Grid"/>
    <w:basedOn w:val="701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0" w:customStyle="1">
    <w:name w:val="ConsPlusNonformat"/>
    <w:pPr>
      <w:widowControl w:val="off"/>
    </w:pPr>
    <w:rPr>
      <w:rFonts w:ascii="Courier New" w:hAnsi="Courier New" w:cs="Courier New"/>
    </w:rPr>
  </w:style>
  <w:style w:type="paragraph" w:styleId="871">
    <w:name w:val="Balloon Text"/>
    <w:basedOn w:val="690"/>
    <w:semiHidden/>
    <w:rPr>
      <w:rFonts w:ascii="Tahoma" w:hAnsi="Tahoma" w:cs="Tahoma"/>
      <w:sz w:val="16"/>
      <w:szCs w:val="16"/>
    </w:rPr>
  </w:style>
  <w:style w:type="paragraph" w:styleId="872" w:customStyle="1">
    <w:name w:val="Знак"/>
    <w:basedOn w:val="6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873">
    <w:name w:val="Header"/>
    <w:basedOn w:val="690"/>
    <w:link w:val="874"/>
    <w:uiPriority w:val="99"/>
    <w:pPr>
      <w:tabs>
        <w:tab w:val="center" w:pos="4677" w:leader="none"/>
        <w:tab w:val="right" w:pos="9355" w:leader="none"/>
      </w:tabs>
    </w:pPr>
  </w:style>
  <w:style w:type="character" w:styleId="874" w:customStyle="1">
    <w:name w:val="Верхний колонтитул Знак"/>
    <w:link w:val="873"/>
    <w:uiPriority w:val="99"/>
    <w:rPr>
      <w:sz w:val="24"/>
      <w:szCs w:val="24"/>
    </w:rPr>
  </w:style>
  <w:style w:type="paragraph" w:styleId="875">
    <w:name w:val="Footer"/>
    <w:basedOn w:val="690"/>
    <w:link w:val="876"/>
    <w:pPr>
      <w:tabs>
        <w:tab w:val="center" w:pos="4677" w:leader="none"/>
        <w:tab w:val="right" w:pos="9355" w:leader="none"/>
      </w:tabs>
    </w:pPr>
  </w:style>
  <w:style w:type="character" w:styleId="876" w:customStyle="1">
    <w:name w:val="Нижний колонтитул Знак"/>
    <w:link w:val="875"/>
    <w:rPr>
      <w:sz w:val="24"/>
      <w:szCs w:val="24"/>
    </w:rPr>
  </w:style>
  <w:style w:type="paragraph" w:styleId="877" w:customStyle="1">
    <w:name w:val="ConsPlusTitle"/>
    <w:pPr>
      <w:widowControl w:val="off"/>
    </w:pPr>
    <w:rPr>
      <w:rFonts w:eastAsia="Calibri"/>
      <w:b/>
      <w:bCs/>
      <w:sz w:val="28"/>
      <w:szCs w:val="28"/>
    </w:rPr>
  </w:style>
  <w:style w:type="table" w:styleId="878" w:customStyle="1">
    <w:name w:val="Сетка таблицы1"/>
    <w:basedOn w:val="701"/>
    <w:next w:val="869"/>
    <w:uiPriority w:val="59"/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79" w:customStyle="1">
    <w:name w:val="ConsPlusNormal"/>
    <w:pPr>
      <w:widowControl w:val="off"/>
    </w:pPr>
    <w:rPr>
      <w:rFonts w:ascii="Calibri" w:hAnsi="Calibri" w:cs="Calibri"/>
      <w:sz w:val="22"/>
    </w:rPr>
  </w:style>
  <w:style w:type="paragraph" w:styleId="880" w:customStyle="1">
    <w:name w:val="Знак"/>
    <w:basedOn w:val="6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881" w:customStyle="1">
    <w:name w:val="Сетка таблицы2"/>
    <w:basedOn w:val="701"/>
    <w:next w:val="86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882" w:customStyle="1">
    <w:name w:val="Знак"/>
    <w:basedOn w:val="690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883" w:customStyle="1">
    <w:name w:val="Сетка таблицы11"/>
    <w:basedOn w:val="701"/>
    <w:next w:val="869"/>
    <w:uiPriority w:val="59"/>
    <w:rPr>
      <w:rFonts w:ascii="Calibri" w:hAnsi="Calibri"/>
      <w:sz w:val="22"/>
      <w:szCs w:val="22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hyperlink" Target="http://pravo.gov.ru/" TargetMode="External"/><Relationship Id="rId13" Type="http://schemas.openxmlformats.org/officeDocument/2006/relationships/hyperlink" Target="http://pravo.gov.ru/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60C9B7F3-BFE1-454B-80DD-57EEC1F49FB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Company>1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kozlova_ev</dc:creator>
  <cp:revision>6</cp:revision>
  <dcterms:created xsi:type="dcterms:W3CDTF">2023-03-09T13:36:00Z</dcterms:created>
  <dcterms:modified xsi:type="dcterms:W3CDTF">2026-10-15T13:50:02Z</dcterms:modified>
</cp:coreProperties>
</file>