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hd w:val="clear" w:color="auto" w:fill="999999"/>
        <w:rPr>
          <w:rFonts w:ascii="Verdana" w:hAnsi="Verdana"/>
          <w:b/>
          <w:color w:val="ffffff"/>
          <w:sz w:val="26"/>
          <w:szCs w:val="26"/>
        </w:rPr>
        <w:pBdr>
          <w:top w:val="single" w:color="000000" w:sz="4" w:space="0"/>
          <w:left w:val="single" w:color="000000" w:sz="4" w:space="4"/>
          <w:bottom w:val="single" w:color="000000" w:sz="4" w:space="1"/>
          <w:right w:val="single" w:color="000000" w:sz="4" w:space="4"/>
        </w:pBdr>
      </w:pPr>
      <w:r>
        <w:rPr>
          <w:rFonts w:ascii="Verdana" w:hAnsi="Verdana"/>
          <w:b/>
          <w:color w:val="ffffff"/>
          <w:sz w:val="26"/>
          <w:szCs w:val="26"/>
        </w:rPr>
        <w:t xml:space="preserve"> </w:t>
      </w:r>
      <w:r>
        <w:rPr>
          <w:rFonts w:ascii="Verdana" w:hAnsi="Verdana"/>
          <w:b/>
          <w:color w:val="ffffff"/>
          <w:sz w:val="26"/>
          <w:szCs w:val="26"/>
        </w:rPr>
      </w:r>
      <w:r/>
    </w:p>
    <w:p>
      <w:pPr>
        <w:shd w:val="clear" w:color="auto" w:fill="999999"/>
        <w:tabs>
          <w:tab w:val="left" w:pos="1039" w:leader="none"/>
          <w:tab w:val="left" w:pos="1690" w:leader="none"/>
          <w:tab w:val="center" w:pos="5043" w:leader="none"/>
        </w:tabs>
        <w:rPr>
          <w:b/>
          <w:color w:val="ffffff"/>
          <w:sz w:val="26"/>
          <w:szCs w:val="26"/>
        </w:rPr>
        <w:pBdr>
          <w:top w:val="single" w:color="000000" w:sz="4" w:space="0"/>
          <w:left w:val="single" w:color="000000" w:sz="4" w:space="4"/>
          <w:bottom w:val="single" w:color="000000" w:sz="4" w:space="1"/>
          <w:right w:val="single" w:color="000000" w:sz="4" w:space="4"/>
        </w:pBdr>
      </w:pPr>
      <w:r>
        <w:rPr>
          <w:b/>
          <w:color w:val="ffffff"/>
          <w:sz w:val="26"/>
          <w:szCs w:val="26"/>
        </w:rPr>
        <w:tab/>
      </w:r>
      <w:r>
        <w:rPr>
          <w:b/>
          <w:color w:val="ffffff"/>
          <w:sz w:val="26"/>
          <w:szCs w:val="26"/>
        </w:rPr>
        <w:tab/>
      </w:r>
      <w:r>
        <w:rPr>
          <w:b/>
          <w:color w:val="ffffff"/>
          <w:sz w:val="26"/>
          <w:szCs w:val="26"/>
        </w:rPr>
        <w:tab/>
      </w:r>
      <w:r>
        <w:rPr>
          <w:b/>
          <w:color w:val="ffffff"/>
          <w:sz w:val="26"/>
          <w:szCs w:val="26"/>
        </w:rPr>
        <w:t xml:space="preserve">Информационное сообщение</w:t>
      </w:r>
      <w:r>
        <w:rPr>
          <w:sz w:val="26"/>
          <w:szCs w:val="26"/>
        </w:rPr>
      </w:r>
      <w:r/>
    </w:p>
    <w:p>
      <w:pPr>
        <w:jc w:val="center"/>
        <w:shd w:val="clear" w:color="auto" w:fill="999999"/>
        <w:rPr>
          <w:b/>
          <w:sz w:val="24"/>
          <w:szCs w:val="24"/>
        </w:rPr>
        <w:pBdr>
          <w:top w:val="single" w:color="000000" w:sz="4" w:space="0"/>
          <w:left w:val="single" w:color="000000" w:sz="4" w:space="4"/>
          <w:bottom w:val="single" w:color="000000" w:sz="4" w:space="1"/>
          <w:right w:val="single" w:color="000000" w:sz="4" w:space="4"/>
        </w:pBdr>
      </w:pPr>
      <w:r>
        <w:rPr>
          <w:b/>
          <w:sz w:val="24"/>
          <w:szCs w:val="24"/>
        </w:rPr>
        <w:t xml:space="preserve">Настоящим </w:t>
      </w:r>
      <w:r>
        <w:rPr>
          <w:b/>
          <w:sz w:val="24"/>
          <w:szCs w:val="24"/>
          <w:u w:val="none"/>
        </w:rPr>
        <w:t xml:space="preserve">министерство социальной защиты населения и труда Белгородской области</w:t>
      </w:r>
      <w:r>
        <w:rPr>
          <w:sz w:val="24"/>
          <w:szCs w:val="24"/>
        </w:rPr>
      </w:r>
      <w:r/>
    </w:p>
    <w:p>
      <w:pPr>
        <w:jc w:val="center"/>
        <w:shd w:val="clear" w:color="auto" w:fill="999999"/>
        <w:rPr>
          <w:b/>
          <w:sz w:val="24"/>
          <w:szCs w:val="24"/>
        </w:rPr>
        <w:pBdr>
          <w:top w:val="single" w:color="000000" w:sz="4" w:space="0"/>
          <w:left w:val="single" w:color="000000" w:sz="4" w:space="4"/>
          <w:bottom w:val="single" w:color="000000" w:sz="4" w:space="1"/>
          <w:right w:val="single" w:color="000000" w:sz="4" w:space="4"/>
        </w:pBdr>
      </w:pPr>
      <w:r>
        <w:rPr>
          <w:b/>
          <w:sz w:val="24"/>
          <w:szCs w:val="24"/>
        </w:rPr>
        <w:t xml:space="preserve">уведомляет о </w:t>
      </w:r>
      <w:r>
        <w:rPr>
          <w:b/>
          <w:sz w:val="24"/>
          <w:szCs w:val="24"/>
        </w:rPr>
        <w:t xml:space="preserve">начале </w:t>
      </w:r>
      <w:r>
        <w:rPr>
          <w:b/>
          <w:sz w:val="24"/>
          <w:szCs w:val="24"/>
        </w:rPr>
        <w:t xml:space="preserve">публичных консультаций</w:t>
      </w: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в целях </w:t>
      </w:r>
      <w:r>
        <w:rPr>
          <w:b/>
          <w:sz w:val="24"/>
          <w:szCs w:val="24"/>
        </w:rPr>
        <w:t xml:space="preserve">оценки </w:t>
      </w:r>
      <w:r>
        <w:rPr>
          <w:b/>
          <w:sz w:val="24"/>
          <w:szCs w:val="24"/>
        </w:rPr>
        <w:br/>
        <w:t xml:space="preserve">фактического </w:t>
      </w:r>
      <w:r>
        <w:rPr>
          <w:b/>
          <w:sz w:val="24"/>
          <w:szCs w:val="24"/>
        </w:rPr>
        <w:t xml:space="preserve">воздействия нормативного правового акта</w:t>
      </w:r>
      <w:r>
        <w:rPr>
          <w:b/>
          <w:sz w:val="24"/>
          <w:szCs w:val="24"/>
        </w:rPr>
        <w:t xml:space="preserve">.</w:t>
      </w:r>
      <w:r>
        <w:rPr>
          <w:sz w:val="24"/>
          <w:szCs w:val="24"/>
        </w:rPr>
      </w:r>
      <w:r/>
    </w:p>
    <w:p>
      <w:pPr>
        <w:jc w:val="center"/>
        <w:shd w:val="clear" w:color="auto" w:fill="999999"/>
        <w:rPr>
          <w:rFonts w:ascii="Verdana" w:hAnsi="Verdana"/>
          <w:b/>
          <w:color w:val="ffffff"/>
        </w:rPr>
        <w:pBdr>
          <w:top w:val="single" w:color="000000" w:sz="4" w:space="0"/>
          <w:left w:val="single" w:color="000000" w:sz="4" w:space="4"/>
          <w:bottom w:val="single" w:color="000000" w:sz="4" w:space="1"/>
          <w:right w:val="single" w:color="000000" w:sz="4" w:space="4"/>
        </w:pBdr>
      </w:pPr>
      <w:r>
        <w:rPr>
          <w:rFonts w:ascii="Verdana" w:hAnsi="Verdana"/>
          <w:b/>
          <w:color w:val="ffffff"/>
        </w:rPr>
      </w:r>
      <w:r>
        <w:rPr>
          <w:rFonts w:ascii="Verdana" w:hAnsi="Verdana"/>
          <w:b/>
          <w:color w:val="ffffff"/>
        </w:rPr>
      </w:r>
      <w:r/>
    </w:p>
    <w:p>
      <w:pPr>
        <w:jc w:val="both"/>
        <w:rPr>
          <w:rFonts w:ascii="Verdana" w:hAnsi="Verdana"/>
        </w:rPr>
      </w:pPr>
      <w:r>
        <w:rPr>
          <w:rFonts w:ascii="Verdana" w:hAnsi="Verdana"/>
        </w:rPr>
      </w:r>
      <w:r>
        <w:rPr>
          <w:rFonts w:ascii="Verdana" w:hAnsi="Verdana"/>
        </w:rPr>
      </w:r>
      <w:r/>
    </w:p>
    <w:p>
      <w:pPr>
        <w:contextualSpacing w:val="0"/>
        <w:ind w:left="0" w:right="0" w:firstLine="0"/>
        <w:jc w:val="both"/>
        <w:spacing w:before="0" w:after="0" w:line="288" w:lineRule="atLeast"/>
        <w:shd w:val="clear" w:color="auto" w:fill="auto"/>
        <w:rPr>
          <w:highlight w:val="none"/>
          <w:u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uppressLineNumbers w:val="0"/>
      </w:pPr>
      <w:r/>
      <w:bookmarkStart w:id="0" w:name="OLE_LINK276"/>
      <w:r/>
      <w:bookmarkStart w:id="1" w:name="OLE_LINK277"/>
      <w:r/>
      <w:bookmarkStart w:id="2" w:name="OLE_LINK278"/>
      <w:r>
        <w:rPr>
          <w:b/>
        </w:rPr>
        <w:t xml:space="preserve">Нормативный правовой а</w:t>
      </w:r>
      <w:r>
        <w:rPr>
          <w:b/>
        </w:rPr>
        <w:t xml:space="preserve">кт</w:t>
      </w:r>
      <w:r>
        <w:rPr>
          <w:b/>
        </w:rPr>
        <w:t xml:space="preserve">:</w:t>
      </w:r>
      <w:r>
        <w:t xml:space="preserve"> </w:t>
      </w:r>
      <w:bookmarkEnd w:id="0"/>
      <w:r/>
      <w:bookmarkEnd w:id="1"/>
      <w:r/>
      <w:bookmarkEnd w:id="2"/>
      <w:r>
        <w:rPr>
          <w:u w:val="none"/>
        </w:rPr>
        <w:t xml:space="preserve">постановление Правительства Белгородской области</w:t>
      </w:r>
      <w:r>
        <w:rPr>
          <w:u w:val="none"/>
        </w:rPr>
        <w:t xml:space="preserve"> </w:t>
        <w:br/>
        <w:t xml:space="preserve">от 26 декабря 2022 года </w:t>
      </w:r>
      <w:r>
        <w:rPr>
          <w:u w:val="none"/>
        </w:rPr>
        <w:t xml:space="preserve">№ 805-пп</w:t>
      </w:r>
      <w:r>
        <w:rPr>
          <w:u w:val="none"/>
        </w:rPr>
        <w:t xml:space="preserve"> «</w:t>
      </w:r>
      <w:r>
        <w:rPr>
          <w:rFonts w:ascii="Times New Roman" w:hAnsi="Times New Roman" w:eastAsia="Times New Roman" w:cs="Times New Roman"/>
          <w:color w:val="000000"/>
          <w:sz w:val="24"/>
          <w:u w:val="none"/>
        </w:rPr>
        <w:t xml:space="preserve">О</w:t>
      </w:r>
      <w:r>
        <w:rPr>
          <w:rFonts w:ascii="Times New Roman" w:hAnsi="Times New Roman" w:eastAsia="Times New Roman" w:cs="Times New Roman"/>
          <w:color w:val="000000"/>
          <w:sz w:val="24"/>
          <w:u w:val="none"/>
        </w:rPr>
        <w:t xml:space="preserve">б</w:t>
      </w:r>
      <w:r>
        <w:rPr>
          <w:rFonts w:ascii="Times New Roman" w:hAnsi="Times New Roman" w:eastAsia="Times New Roman" w:cs="Times New Roman"/>
          <w:color w:val="000000"/>
          <w:sz w:val="24"/>
          <w:u w:val="none"/>
        </w:rPr>
        <w:t xml:space="preserve"> утверждении порядка предоставления иных межбюджетных трансфертов из федерального бюджета и средств областного бюджета </w:t>
        <w:br/>
        <w:t xml:space="preserve">на реализацию регионального проекта, обеспечивающего достижение целей, показателей </w:t>
        <w:br/>
        <w:t xml:space="preserve">и результатов федерального проекта «Содействие занят</w:t>
      </w:r>
      <w:r>
        <w:rPr>
          <w:rFonts w:ascii="Times New Roman" w:hAnsi="Times New Roman" w:eastAsia="Times New Roman" w:cs="Times New Roman"/>
          <w:color w:val="000000"/>
          <w:sz w:val="24"/>
          <w:u w:val="none"/>
        </w:rPr>
        <w:t xml:space="preserve">ости» национального проекта «Демография» по реализации дополнительных мероприятий, направленных на снижение напряженности на рынке труда Белгородской области, по финансовому обеспечению (возмещению) затрат работодателей на организацию профессионального обу</w:t>
      </w:r>
      <w:r>
        <w:rPr>
          <w:rFonts w:ascii="Times New Roman" w:hAnsi="Times New Roman" w:eastAsia="Times New Roman" w:cs="Times New Roman"/>
          <w:color w:val="000000"/>
          <w:sz w:val="24"/>
          <w:u w:val="none"/>
        </w:rPr>
        <w:t xml:space="preserve">чен</w:t>
      </w:r>
      <w:r>
        <w:rPr>
          <w:rFonts w:ascii="Times New Roman" w:hAnsi="Times New Roman" w:eastAsia="Times New Roman" w:cs="Times New Roman"/>
          <w:color w:val="000000"/>
          <w:sz w:val="24"/>
          <w:u w:val="none"/>
        </w:rPr>
        <w:t xml:space="preserve">ия </w:t>
        <w:br/>
        <w:t xml:space="preserve">и дополнительного профессионального образования работников предприятий оборонно-промышленного комплекса, а также граждан, обратившихся в органы службы занятости </w:t>
        <w:br/>
        <w:t xml:space="preserve">за содействием в поиске подходящей работы и заключивших ученический договор </w:t>
        <w:br/>
        <w:t xml:space="preserve">с предприятия</w:t>
      </w:r>
      <w:r>
        <w:rPr>
          <w:rFonts w:ascii="Times New Roman" w:hAnsi="Times New Roman" w:eastAsia="Times New Roman" w:cs="Times New Roman"/>
          <w:color w:val="000000"/>
          <w:sz w:val="24"/>
          <w:u w:val="none"/>
        </w:rPr>
        <w:t xml:space="preserve">ми оборонно-промышленного комплекса</w:t>
      </w:r>
      <w:r>
        <w:rPr>
          <w:u w:val="none"/>
        </w:rPr>
        <w:t xml:space="preserve">»</w:t>
      </w:r>
      <w:r>
        <w:rPr>
          <w:u w:val="none"/>
        </w:rPr>
        <w:t xml:space="preserve">.</w:t>
      </w:r>
      <w:r>
        <w:rPr>
          <w:u w:val="none"/>
        </w:rPr>
      </w:r>
      <w:r/>
    </w:p>
    <w:p>
      <w:pPr>
        <w:contextualSpacing w:val="0"/>
        <w:ind w:left="0" w:right="0" w:firstLine="0"/>
        <w:jc w:val="both"/>
        <w:spacing w:before="0" w:after="0" w:line="288" w:lineRule="atLeast"/>
        <w:shd w:val="clear" w:color="auto" w:fill="auto"/>
        <w:rPr>
          <w:u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uppressLineNumbers w:val="0"/>
      </w:pPr>
      <w:r>
        <w:rPr>
          <w:highlight w:val="none"/>
          <w:u w:val="none"/>
        </w:rPr>
      </w:r>
      <w:r>
        <w:rPr>
          <w:highlight w:val="none"/>
          <w:u w:val="none"/>
        </w:rPr>
      </w:r>
      <w:r/>
    </w:p>
    <w:p>
      <w:pPr>
        <w:contextualSpacing w:val="0"/>
        <w:jc w:val="both"/>
        <w:shd w:val="clear" w:color="auto" w:fill="auto"/>
        <w:rPr>
          <w:highlight w:val="none"/>
          <w:u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uppressLineNumbers w:val="0"/>
      </w:pPr>
      <w:r>
        <w:rPr>
          <w:b/>
        </w:rPr>
      </w:r>
      <w:r>
        <w:rPr>
          <w:b/>
        </w:rPr>
        <w:t xml:space="preserve">Разработчик </w:t>
      </w:r>
      <w:r>
        <w:rPr>
          <w:b/>
        </w:rPr>
        <w:t xml:space="preserve">нормативного правового </w:t>
      </w:r>
      <w:r>
        <w:rPr>
          <w:b/>
        </w:rPr>
        <w:t xml:space="preserve">акта:</w:t>
      </w:r>
      <w:r>
        <w:rPr>
          <w:b/>
        </w:rPr>
        <w:t xml:space="preserve"> </w:t>
      </w:r>
      <w:r>
        <w:rPr>
          <w:b/>
          <w:u w:val="none"/>
        </w:rPr>
        <w:t xml:space="preserve"> </w:t>
      </w:r>
      <w:r>
        <w:rPr>
          <w:u w:val="none"/>
        </w:rPr>
        <w:t xml:space="preserve">департамент труда и занятости министерства социальной защиты населения</w:t>
      </w:r>
      <w:r>
        <w:rPr>
          <w:u w:val="none"/>
        </w:rPr>
        <w:t xml:space="preserve"> и труда Белгородской области</w:t>
      </w:r>
      <w:r>
        <w:rPr>
          <w:u w:val="none"/>
        </w:rPr>
      </w:r>
      <w:r/>
    </w:p>
    <w:p>
      <w:pPr>
        <w:contextualSpacing w:val="0"/>
        <w:jc w:val="both"/>
        <w:shd w:val="clear" w:color="auto" w:fill="auto"/>
        <w:rPr>
          <w:u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uppressLineNumbers w:val="0"/>
      </w:pPr>
      <w:r>
        <w:rPr>
          <w:highlight w:val="none"/>
          <w:u w:val="none"/>
        </w:rPr>
      </w:r>
      <w:r>
        <w:rPr>
          <w:highlight w:val="none"/>
          <w:u w:val="none"/>
        </w:rPr>
      </w:r>
      <w:r/>
    </w:p>
    <w:p>
      <w:pPr>
        <w:contextualSpacing w:val="0"/>
        <w:jc w:val="both"/>
        <w:shd w:val="clear" w:color="auto" w:fill="auto"/>
        <w:rPr>
          <w:highlight w:val="none"/>
          <w:u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uppressLineNumbers w:val="0"/>
      </w:pPr>
      <w:r>
        <w:rPr>
          <w:b/>
        </w:rPr>
        <w:t xml:space="preserve">Сроки проведения публичных консультаций:</w:t>
      </w:r>
      <w:r>
        <w:rPr>
          <w:b/>
          <w:u w:val="none"/>
        </w:rPr>
        <w:t xml:space="preserve"> </w:t>
      </w:r>
      <w:r>
        <w:rPr>
          <w:b w:val="0"/>
          <w:bCs w:val="0"/>
          <w:u w:val="none"/>
        </w:rPr>
        <w:t xml:space="preserve"> </w:t>
      </w:r>
      <w:r>
        <w:rPr>
          <w:b w:val="0"/>
          <w:bCs w:val="0"/>
          <w:u w:val="none"/>
        </w:rPr>
        <w:t xml:space="preserve">с </w:t>
      </w:r>
      <w:r>
        <w:rPr>
          <w:u w:val="none"/>
        </w:rPr>
        <w:t xml:space="preserve">15 октября 2026 года</w:t>
      </w:r>
      <w:r>
        <w:rPr>
          <w:b/>
          <w:u w:val="none"/>
        </w:rPr>
        <w:t xml:space="preserve"> по </w:t>
      </w:r>
      <w:r>
        <w:rPr>
          <w:u w:val="none"/>
        </w:rPr>
        <w:t xml:space="preserve">12 ноября 2026 года</w:t>
      </w:r>
      <w:r>
        <w:rPr>
          <w:u w:val="none"/>
        </w:rPr>
      </w:r>
      <w:r/>
    </w:p>
    <w:p>
      <w:pPr>
        <w:contextualSpacing w:val="0"/>
        <w:jc w:val="both"/>
        <w:shd w:val="clear" w:color="auto" w:fill="auto"/>
        <w:rPr>
          <w:u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uppressLineNumbers w:val="0"/>
      </w:pPr>
      <w:r>
        <w:rPr>
          <w:highlight w:val="none"/>
          <w:u w:val="none"/>
        </w:rPr>
      </w:r>
      <w:r>
        <w:rPr>
          <w:highlight w:val="none"/>
          <w:u w:val="none"/>
        </w:rPr>
      </w:r>
      <w:r/>
    </w:p>
    <w:p>
      <w:pPr>
        <w:contextualSpacing w:val="0"/>
        <w:jc w:val="both"/>
        <w:shd w:val="clear" w:color="auto" w:fill="auto"/>
        <w:rPr>
          <w:rFonts w:ascii="Times New Roman" w:hAnsi="Times New Roman" w:eastAsia="PT Astra Serif" w:cs="Times New Roman"/>
          <w:sz w:val="24"/>
          <w:szCs w:val="24"/>
          <w:highlight w:val="none"/>
          <w:u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uppressLineNumbers w:val="0"/>
      </w:pPr>
      <w:r>
        <w:rPr>
          <w:rFonts w:ascii="Times New Roman" w:hAnsi="Times New Roman" w:cs="Times New Roman"/>
          <w:b/>
          <w:sz w:val="24"/>
          <w:szCs w:val="24"/>
          <w:u w:val="none"/>
        </w:rPr>
        <w:t xml:space="preserve">Способ направления ответов:</w:t>
      </w:r>
      <w:r>
        <w:rPr>
          <w:rFonts w:ascii="Times New Roman" w:hAnsi="Times New Roman" w:cs="Times New Roman"/>
          <w:b/>
          <w:sz w:val="24"/>
          <w:szCs w:val="24"/>
          <w:u w:val="non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none"/>
        </w:rPr>
        <w:t xml:space="preserve">по </w:t>
      </w:r>
      <w:r>
        <w:rPr>
          <w:rFonts w:ascii="Times New Roman" w:hAnsi="Times New Roman" w:cs="Times New Roman"/>
          <w:sz w:val="24"/>
          <w:szCs w:val="24"/>
          <w:u w:val="none"/>
        </w:rPr>
        <w:t xml:space="preserve">электронное</w:t>
      </w:r>
      <w:r>
        <w:rPr>
          <w:rFonts w:ascii="Times New Roman" w:hAnsi="Times New Roman" w:cs="Times New Roman"/>
          <w:sz w:val="24"/>
          <w:szCs w:val="24"/>
          <w:u w:val="non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почт</w:t>
      </w:r>
      <w:r>
        <w:rPr>
          <w:rFonts w:ascii="Times New Roman" w:hAnsi="Times New Roman" w:cs="Times New Roman"/>
          <w:sz w:val="24"/>
          <w:szCs w:val="24"/>
          <w:u w:val="none"/>
        </w:rPr>
        <w:t xml:space="preserve">е</w:t>
      </w:r>
      <w:r>
        <w:rPr>
          <w:rFonts w:ascii="Times New Roman" w:hAnsi="Times New Roman" w:cs="Times New Roman"/>
          <w:sz w:val="24"/>
          <w:szCs w:val="24"/>
          <w:u w:val="none"/>
        </w:rPr>
        <w:t xml:space="preserve">_</w:t>
      </w:r>
      <w:r>
        <w:rPr>
          <w:rFonts w:ascii="Times New Roman" w:hAnsi="Times New Roman" w:eastAsia="PT Astra Serif" w:cs="Times New Roman"/>
          <w:sz w:val="24"/>
          <w:szCs w:val="24"/>
          <w:u w:val="none"/>
        </w:rPr>
        <w:t xml:space="preserve">putivskaya_is@belgov.ru</w:t>
      </w:r>
      <w:r>
        <w:rPr>
          <w:rFonts w:ascii="Times New Roman" w:hAnsi="Times New Roman" w:cs="Times New Roman"/>
          <w:sz w:val="24"/>
          <w:szCs w:val="24"/>
          <w:u w:val="none"/>
        </w:rPr>
      </w:r>
      <w:r/>
    </w:p>
    <w:p>
      <w:pPr>
        <w:contextualSpacing w:val="0"/>
        <w:jc w:val="both"/>
        <w:shd w:val="clear" w:color="auto" w:fill="auto"/>
        <w:rPr>
          <w:rFonts w:ascii="Times New Roman" w:hAnsi="Times New Roman" w:cs="Times New Roman"/>
          <w:sz w:val="24"/>
          <w:szCs w:val="24"/>
          <w:u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uppressLineNumbers w:val="0"/>
      </w:pPr>
      <w:r>
        <w:rPr>
          <w:rFonts w:ascii="Times New Roman" w:hAnsi="Times New Roman" w:eastAsia="PT Astra Serif" w:cs="Times New Roman"/>
          <w:sz w:val="24"/>
          <w:szCs w:val="24"/>
          <w:highlight w:val="none"/>
          <w:u w:val="none"/>
        </w:rPr>
      </w:r>
      <w:r>
        <w:rPr>
          <w:rFonts w:ascii="Times New Roman" w:hAnsi="Times New Roman" w:eastAsia="PT Astra Serif" w:cs="Times New Roman"/>
          <w:sz w:val="24"/>
          <w:szCs w:val="24"/>
          <w:highlight w:val="none"/>
          <w:u w:val="none"/>
        </w:rPr>
      </w:r>
      <w:r/>
    </w:p>
    <w:p>
      <w:pPr>
        <w:contextualSpacing w:val="0"/>
        <w:jc w:val="both"/>
        <w:shd w:val="clear" w:color="auto" w:fill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uppressLineNumbers w:val="0"/>
      </w:pPr>
      <w:r>
        <w:rPr>
          <w:b/>
        </w:rPr>
        <w:t xml:space="preserve">Контактное лицо по вопросам заполнения формы запроса и его отправки:</w:t>
      </w:r>
      <w:r>
        <w:t xml:space="preserve"> </w:t>
      </w:r>
      <w:r/>
    </w:p>
    <w:p>
      <w:pPr>
        <w:contextualSpacing w:val="0"/>
        <w:jc w:val="both"/>
        <w:shd w:val="clear" w:color="auto" w:fill="auto"/>
        <w:rPr>
          <w:u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uppressLineNumbers w:val="0"/>
      </w:pPr>
      <w:r>
        <w:rPr>
          <w:u w:val="none"/>
        </w:rPr>
        <w:t xml:space="preserve">Путивская Ирина Сергеевна – заместитель начальника отдела по профессиональной подготовке </w:t>
        <w:br/>
        <w:t xml:space="preserve">и кадровому обеспечению </w:t>
      </w:r>
      <w:r>
        <w:rPr>
          <w:u w:val="none"/>
        </w:rPr>
        <w:t xml:space="preserve">департамента </w:t>
      </w:r>
      <w:r>
        <w:rPr>
          <w:u w:val="none"/>
        </w:rPr>
        <w:t xml:space="preserve">труда и занятости</w:t>
      </w:r>
      <w:r>
        <w:rPr>
          <w:u w:val="none"/>
        </w:rPr>
        <w:t xml:space="preserve"> министерства социальной защиты населения</w:t>
      </w:r>
      <w:r>
        <w:rPr>
          <w:u w:val="none"/>
        </w:rPr>
        <w:t xml:space="preserve"> и труда Белгородской области, </w:t>
      </w:r>
      <w:r>
        <w:rPr>
          <w:u w:val="none"/>
        </w:rPr>
      </w:r>
      <w:r/>
    </w:p>
    <w:p>
      <w:pPr>
        <w:contextualSpacing w:val="0"/>
        <w:jc w:val="both"/>
        <w:shd w:val="clear" w:color="auto" w:fill="auto"/>
        <w:rPr>
          <w:u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uppressLineNumbers w:val="0"/>
      </w:pPr>
      <w:r>
        <w:rPr>
          <w:u w:val="none"/>
        </w:rPr>
        <w:t xml:space="preserve">Тел.: 8 (4722) 32-69-94</w:t>
      </w:r>
      <w:r>
        <w:rPr>
          <w:u w:val="none"/>
        </w:rPr>
      </w:r>
      <w:r/>
    </w:p>
    <w:p>
      <w:pPr>
        <w:contextualSpacing w:val="0"/>
        <w:ind w:left="0" w:right="0" w:firstLine="0"/>
        <w:jc w:val="both"/>
        <w:spacing w:before="0" w:after="0" w:line="288" w:lineRule="atLeast"/>
        <w:shd w:val="clear" w:color="auto" w:fill="auto"/>
        <w:rPr>
          <w:b/>
          <w:bCs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uppressLineNumbers w:val="0"/>
      </w:pPr>
      <w:r>
        <w:rPr>
          <w:b/>
        </w:rPr>
        <w:t xml:space="preserve">Прилагаемые к запросу документы: </w:t>
      </w:r>
      <w:r>
        <w:rPr>
          <w:highlight w:val="none"/>
          <w:u w:val="none"/>
        </w:rPr>
      </w:r>
      <w:r/>
    </w:p>
    <w:p>
      <w:pPr>
        <w:pStyle w:val="702"/>
        <w:numPr>
          <w:ilvl w:val="0"/>
          <w:numId w:val="2"/>
        </w:numPr>
        <w:contextualSpacing w:val="0"/>
        <w:ind w:left="0" w:right="0" w:firstLine="0"/>
        <w:jc w:val="both"/>
        <w:spacing w:before="0" w:after="0" w:line="288" w:lineRule="atLeast"/>
        <w:shd w:val="clear" w:color="auto" w:fill="auto"/>
        <w:rPr>
          <w:u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uppressLineNumbers w:val="0"/>
      </w:pPr>
      <w:r>
        <w:rPr>
          <w:u w:val="none"/>
        </w:rPr>
        <w:t xml:space="preserve">п</w:t>
      </w:r>
      <w:r>
        <w:rPr>
          <w:u w:val="none"/>
        </w:rPr>
        <w:t xml:space="preserve">остановлени</w:t>
      </w:r>
      <w:r>
        <w:rPr>
          <w:u w:val="none"/>
        </w:rPr>
        <w:t xml:space="preserve">е Правительства Белгородской области </w:t>
      </w:r>
      <w:r>
        <w:rPr>
          <w:u w:val="none"/>
        </w:rPr>
        <w:t xml:space="preserve">от 26 декабря 2022 года</w:t>
      </w:r>
      <w:r>
        <w:rPr>
          <w:u w:val="none"/>
        </w:rPr>
        <w:t xml:space="preserve"> </w:t>
      </w:r>
      <w:r>
        <w:rPr>
          <w:u w:val="none"/>
        </w:rPr>
        <w:t xml:space="preserve">№ 805-пп;</w:t>
      </w:r>
      <w:r>
        <w:rPr>
          <w:highlight w:val="none"/>
          <w:u w:val="none"/>
        </w:rPr>
      </w:r>
      <w:r/>
    </w:p>
    <w:p>
      <w:pPr>
        <w:pStyle w:val="702"/>
        <w:numPr>
          <w:ilvl w:val="0"/>
          <w:numId w:val="2"/>
        </w:numPr>
        <w:contextualSpacing w:val="0"/>
        <w:ind w:left="0" w:right="0" w:firstLine="0"/>
        <w:jc w:val="both"/>
        <w:spacing w:before="0" w:after="0" w:line="288" w:lineRule="atLeast"/>
        <w:shd w:val="clear" w:color="auto" w:fill="auto"/>
        <w:rPr>
          <w:u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uppressLineNumbers w:val="0"/>
      </w:pPr>
      <w:r>
        <w:rPr>
          <w:u w:val="none"/>
        </w:rPr>
        <w:t xml:space="preserve">сводный отчет об оценке фактического воздействия;</w:t>
      </w:r>
      <w:r>
        <w:rPr>
          <w:highlight w:val="none"/>
          <w:u w:val="none"/>
        </w:rPr>
      </w:r>
      <w:r/>
    </w:p>
    <w:p>
      <w:pPr>
        <w:pStyle w:val="702"/>
        <w:numPr>
          <w:ilvl w:val="0"/>
          <w:numId w:val="2"/>
        </w:numPr>
        <w:contextualSpacing w:val="0"/>
        <w:ind w:left="0" w:right="0" w:firstLine="0"/>
        <w:jc w:val="both"/>
        <w:spacing w:before="0" w:after="0" w:line="288" w:lineRule="atLeast"/>
        <w:shd w:val="clear" w:color="auto" w:fill="auto"/>
        <w:rPr>
          <w:highlight w:val="none"/>
          <w:u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uppressLineNumbers w:val="0"/>
      </w:pPr>
      <w:r>
        <w:rPr>
          <w:u w:val="none"/>
        </w:rPr>
        <w:t xml:space="preserve">расчет издержек. </w:t>
      </w:r>
      <w:r>
        <w:rPr>
          <w:u w:val="none"/>
        </w:rPr>
      </w:r>
      <w:r/>
    </w:p>
    <w:p>
      <w:pPr>
        <w:contextualSpacing w:val="0"/>
        <w:jc w:val="center"/>
        <w:shd w:val="clear" w:color="auto" w:fill="auto"/>
        <w:rPr>
          <w:b/>
          <w:bCs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uppressLineNumbers w:val="0"/>
      </w:pPr>
      <w:r>
        <w:rPr>
          <w:b/>
          <w:highlight w:val="none"/>
        </w:rPr>
      </w:r>
      <w:r>
        <w:rPr>
          <w:b/>
          <w:highlight w:val="none"/>
        </w:rPr>
      </w:r>
      <w:r/>
    </w:p>
    <w:p>
      <w:pPr>
        <w:contextualSpacing w:val="0"/>
        <w:jc w:val="center"/>
        <w:shd w:val="clear" w:color="auto" w:fill="auto"/>
        <w:rPr>
          <w:b/>
          <w:bCs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uppressLineNumbers w:val="0"/>
      </w:pPr>
      <w:r>
        <w:rPr>
          <w:b/>
        </w:rPr>
        <w:t xml:space="preserve">Перечень вопросов для участников публичных консультаций </w:t>
      </w:r>
      <w:r>
        <w:rPr>
          <w:b/>
          <w:bCs/>
          <w:highlight w:val="none"/>
        </w:rPr>
      </w:r>
      <w:r/>
    </w:p>
    <w:p>
      <w:pPr>
        <w:contextualSpacing w:val="0"/>
        <w:jc w:val="both"/>
        <w:shd w:val="clear" w:color="auto" w:fill="auto"/>
        <w:rPr>
          <w:b/>
          <w:bCs/>
          <w:highlight w:val="none"/>
          <w:u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uppressLineNumbers w:val="0"/>
      </w:pPr>
      <w:r>
        <w:rPr>
          <w:b w:val="0"/>
          <w:bCs w:val="0"/>
          <w:u w:val="none"/>
        </w:rPr>
        <w:t xml:space="preserve">по</w:t>
      </w:r>
      <w:r>
        <w:rPr>
          <w:b/>
          <w:u w:val="none"/>
        </w:rPr>
        <w:t xml:space="preserve"> </w:t>
      </w:r>
      <w:r>
        <w:rPr>
          <w:u w:val="none"/>
        </w:rPr>
        <w:t xml:space="preserve">постановлению Правительства Белгородской области </w:t>
      </w:r>
      <w:r>
        <w:rPr>
          <w:u w:val="none"/>
        </w:rPr>
        <w:t xml:space="preserve">от 26 декабря 2022 года № 805-пп </w:t>
        <w:br/>
      </w:r>
      <w:r>
        <w:rPr>
          <w:u w:val="none"/>
        </w:rPr>
        <w:t xml:space="preserve">«</w:t>
      </w:r>
      <w:r>
        <w:rPr>
          <w:rFonts w:ascii="Times New Roman" w:hAnsi="Times New Roman" w:eastAsia="Times New Roman" w:cs="Times New Roman"/>
          <w:color w:val="000000"/>
          <w:sz w:val="24"/>
          <w:u w:val="none"/>
        </w:rPr>
        <w:t xml:space="preserve">Об </w:t>
      </w:r>
      <w:r>
        <w:rPr>
          <w:rFonts w:ascii="Times New Roman" w:hAnsi="Times New Roman" w:eastAsia="Times New Roman" w:cs="Times New Roman"/>
          <w:color w:val="000000"/>
          <w:sz w:val="24"/>
          <w:u w:val="none"/>
        </w:rPr>
        <w:t xml:space="preserve">у</w:t>
      </w:r>
      <w:r>
        <w:rPr>
          <w:rFonts w:ascii="Times New Roman" w:hAnsi="Times New Roman" w:eastAsia="Times New Roman" w:cs="Times New Roman"/>
          <w:color w:val="000000"/>
          <w:sz w:val="24"/>
          <w:u w:val="none"/>
        </w:rPr>
        <w:t xml:space="preserve">тверждении порядка предоставления иных межбюджетных трансфертов из федерального бюджета и средств областного бюджета на реализацию регионального проекта, обеспечивающего достижение целей, показателей и результатов федерального проекта «Содействие занят</w:t>
      </w:r>
      <w:r>
        <w:rPr>
          <w:rFonts w:ascii="Times New Roman" w:hAnsi="Times New Roman" w:eastAsia="Times New Roman" w:cs="Times New Roman"/>
          <w:color w:val="000000"/>
          <w:sz w:val="24"/>
          <w:u w:val="none"/>
        </w:rPr>
        <w:t xml:space="preserve">о</w:t>
      </w:r>
      <w:r>
        <w:rPr>
          <w:rFonts w:ascii="Times New Roman" w:hAnsi="Times New Roman" w:eastAsia="Times New Roman" w:cs="Times New Roman"/>
          <w:color w:val="000000"/>
          <w:sz w:val="24"/>
          <w:u w:val="none"/>
        </w:rPr>
        <w:t xml:space="preserve">сти» национального проекта «Демография» по реализации дополнительных мероприятий, направленных на снижение напряженности на рынке труда Белгородской области, </w:t>
        <w:br/>
        <w:t xml:space="preserve">по финансовому обеспечению (возмещению) затрат работодателей на организацию профессионального обу</w:t>
      </w:r>
      <w:r>
        <w:rPr>
          <w:rFonts w:ascii="Times New Roman" w:hAnsi="Times New Roman" w:eastAsia="Times New Roman" w:cs="Times New Roman"/>
          <w:color w:val="000000"/>
          <w:sz w:val="24"/>
          <w:u w:val="none"/>
        </w:rPr>
        <w:t xml:space="preserve">чения и дополнительного профессионального образования работников предприятий оборонно-промышленного комплекса, а также граждан, обратившихся в органы службы занятости за содействием в поиске подходящей работы и заключивших ученический договор с предприятия</w:t>
      </w:r>
      <w:r>
        <w:rPr>
          <w:rFonts w:ascii="Times New Roman" w:hAnsi="Times New Roman" w:eastAsia="Times New Roman" w:cs="Times New Roman"/>
          <w:color w:val="000000"/>
          <w:sz w:val="24"/>
          <w:u w:val="none"/>
        </w:rPr>
        <w:t xml:space="preserve">ми оборонно-промышленного комплекса</w:t>
      </w:r>
      <w:r>
        <w:rPr>
          <w:u w:val="none"/>
        </w:rPr>
        <w:t xml:space="preserve">»</w:t>
      </w:r>
      <w:r>
        <w:rPr>
          <w:b/>
          <w:bCs/>
          <w:highlight w:val="none"/>
          <w:u w:val="none"/>
        </w:rPr>
      </w:r>
      <w:r/>
    </w:p>
    <w:p>
      <w:pPr>
        <w:contextualSpacing w:val="0"/>
        <w:ind w:firstLine="720"/>
        <w:jc w:val="both"/>
        <w:rPr>
          <w:highlight w:val="none"/>
          <w:u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uppressLineNumbers w:val="0"/>
      </w:pPr>
      <w:r>
        <w:t xml:space="preserve">Пожалуйста, заполните и направьте данную форму по электронной почте</w:t>
      </w:r>
      <w:r>
        <w:t xml:space="preserve"> </w:t>
      </w:r>
      <w:r>
        <w:rPr>
          <w:u w:val="single"/>
        </w:rPr>
      </w:r>
      <w:hyperlink r:id="rId12" w:tooltip="http://putivskaya_is@belgov.ru" w:history="1">
        <w:r>
          <w:rPr>
            <w:rStyle w:val="866"/>
          </w:rPr>
          <w:t xml:space="preserve">putivskaya_is@belgov.ru</w:t>
        </w:r>
        <w:r>
          <w:rPr>
            <w:rStyle w:val="866"/>
          </w:rPr>
        </w:r>
      </w:hyperlink>
      <w:r>
        <w:t xml:space="preserve"> не позднее</w:t>
      </w:r>
      <w:r>
        <w:rPr>
          <w:u w:val="none"/>
        </w:rPr>
        <w:t xml:space="preserve"> </w:t>
      </w:r>
      <w:r>
        <w:rPr>
          <w:u w:val="none"/>
        </w:rPr>
        <w:t xml:space="preserve">12 ноября 2026 года</w:t>
      </w:r>
      <w:r>
        <w:rPr>
          <w:u w:val="none"/>
        </w:rPr>
      </w:r>
      <w:r/>
    </w:p>
    <w:p>
      <w:pPr>
        <w:ind w:firstLine="708"/>
        <w:jc w:val="both"/>
        <w:rPr>
          <w:b/>
          <w:bCs/>
          <w:highlight w:val="none"/>
        </w:rPr>
      </w:pPr>
      <w:r>
        <w:rPr>
          <w:b/>
        </w:rPr>
        <w:t xml:space="preserve">Разработчик не будет иметь возможности проанализировать позиции, направленные ему после указанного срока.</w:t>
      </w:r>
      <w:r>
        <w:rPr>
          <w:b/>
          <w:bCs/>
          <w:highlight w:val="none"/>
        </w:rPr>
      </w:r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>
        <w:t xml:space="preserve">Контактная информация</w:t>
      </w:r>
      <w:r/>
    </w:p>
    <w:p>
      <w:pPr>
        <w:jc w:val="both"/>
      </w:pPr>
      <w:r>
        <w:t xml:space="preserve">Название организации: </w:t>
      </w:r>
      <w:r>
        <w:t xml:space="preserve"> </w:t>
      </w:r>
      <w:r>
        <w:t xml:space="preserve">_______________________________________________</w:t>
      </w:r>
      <w:r>
        <w:t xml:space="preserve">________________</w:t>
      </w:r>
      <w:r/>
    </w:p>
    <w:p>
      <w:pPr>
        <w:jc w:val="both"/>
      </w:pPr>
      <w:r>
        <w:t xml:space="preserve">Сфера деятельности организации: ______________________________________</w:t>
      </w:r>
      <w:r>
        <w:t xml:space="preserve">________________</w:t>
      </w:r>
      <w:r/>
    </w:p>
    <w:p>
      <w:pPr>
        <w:jc w:val="both"/>
      </w:pPr>
      <w:r>
        <w:t xml:space="preserve">Ф.И.О. контактного лица: _____________________________________________</w:t>
      </w:r>
      <w:r>
        <w:t xml:space="preserve">________________</w:t>
      </w:r>
      <w:r/>
    </w:p>
    <w:p>
      <w:pPr>
        <w:jc w:val="both"/>
      </w:pPr>
      <w:r>
        <w:t xml:space="preserve">Контактный телефон:</w:t>
      </w:r>
      <w:r>
        <w:t xml:space="preserve"> </w:t>
      </w:r>
      <w:r>
        <w:t xml:space="preserve"> ________________________________________________</w:t>
      </w:r>
      <w:r>
        <w:t xml:space="preserve">________________</w:t>
      </w:r>
      <w:r/>
    </w:p>
    <w:p>
      <w:pPr>
        <w:jc w:val="both"/>
      </w:pPr>
      <w:r>
        <w:t xml:space="preserve">Электронный адрес: _________________________________________________</w:t>
      </w:r>
      <w:r>
        <w:t xml:space="preserve">_________________</w:t>
      </w:r>
      <w:r/>
    </w:p>
    <w:p>
      <w:pPr>
        <w:jc w:val="both"/>
      </w:pPr>
      <w:r/>
      <w:r/>
    </w:p>
    <w:p>
      <w:pPr>
        <w:ind w:firstLine="708"/>
        <w:jc w:val="both"/>
      </w:pPr>
      <w:r>
        <w:t xml:space="preserve">1. На решение какой проблемы, на ваш взгляд, направлено данное правовое регулирование? Актуальна ли данная проблема сегодня?</w:t>
      </w:r>
      <w:r/>
    </w:p>
    <w:p>
      <w:pPr>
        <w:ind w:firstLine="708"/>
        <w:jc w:val="both"/>
      </w:pPr>
      <w:r>
        <w:t xml:space="preserve">2. Какие, по Вашей оценке, субъекты предпринимательской и иной экономической деятельности затронуты правовым регулированием?</w:t>
      </w:r>
      <w:r/>
    </w:p>
    <w:p>
      <w:pPr>
        <w:ind w:firstLine="708"/>
        <w:jc w:val="both"/>
      </w:pPr>
      <w:r>
        <w:t xml:space="preserve">3. Достигнуты ли цели регулирования, заявленные в сводном отчете о проведении оценки регулирующего воздействия?</w:t>
      </w:r>
      <w:r/>
    </w:p>
    <w:p>
      <w:pPr>
        <w:ind w:firstLine="708"/>
        <w:jc w:val="both"/>
      </w:pPr>
      <w:r>
        <w:t xml:space="preserve">4. Какие существуют положительные и отрицательные последствия действия нормативного правового акта?</w:t>
      </w:r>
      <w:r/>
    </w:p>
    <w:p>
      <w:pPr>
        <w:ind w:firstLine="708"/>
        <w:jc w:val="both"/>
      </w:pPr>
      <w:r>
        <w:t xml:space="preserve">5. Существуют ли в данном правовом регулировании положения, содержащие избыточные обязательные требования, обязанности, запреты и ограничения для субъектов предпринимательской и иной экономической деятельности или способствующие их введению?</w:t>
      </w:r>
      <w:r/>
    </w:p>
    <w:p>
      <w:pPr>
        <w:ind w:firstLine="708"/>
        <w:jc w:val="both"/>
      </w:pPr>
      <w:r>
        <w:t xml:space="preserve">6. Существуют ли альтернативные (менее затратные и (или) более эффективные) способы достижения целей регулирования?</w:t>
      </w:r>
      <w:r/>
    </w:p>
    <w:p>
      <w:pPr>
        <w:ind w:firstLine="708"/>
        <w:jc w:val="both"/>
      </w:pPr>
      <w:r>
        <w:t xml:space="preserve">7. Какие, на Ваш взгляд, возникают проблемы и трудности с контролем соблюдения требований и норм, введенных нормативным правовым актом?</w:t>
      </w:r>
      <w:r/>
    </w:p>
    <w:p>
      <w:pPr>
        <w:ind w:firstLine="708"/>
        <w:jc w:val="both"/>
      </w:pPr>
      <w:r>
        <w:t xml:space="preserve">8. Существуют ли негативные последствия в результате данного правового регулирования?</w:t>
      </w:r>
      <w:r/>
    </w:p>
    <w:p>
      <w:pPr>
        <w:ind w:firstLine="708"/>
        <w:jc w:val="both"/>
      </w:pPr>
      <w:r>
        <w:t xml:space="preserve">9. Считаете ли Вы, что нормы нормативного правового акта не соответствуют, дублируют или противоречат иным действующим нормативным правовым актам? Укажите нормы и такие нормативные правовые акты.</w:t>
      </w:r>
      <w:r/>
    </w:p>
    <w:p>
      <w:pPr>
        <w:ind w:firstLine="708"/>
        <w:jc w:val="both"/>
      </w:pPr>
      <w:r>
        <w:t xml:space="preserve">10. Ваши предложения по внесению изменений в данный нормативный правовой акт, если в них есть необходимость.</w:t>
      </w:r>
      <w:r/>
    </w:p>
    <w:sectPr>
      <w:headerReference w:type="default" r:id="rId9"/>
      <w:headerReference w:type="even" r:id="rId10"/>
      <w:footerReference w:type="default" r:id="rId11"/>
      <w:footnotePr/>
      <w:endnotePr/>
      <w:type w:val="nextPage"/>
      <w:pgSz w:w="11906" w:h="16838" w:orient="portrait"/>
      <w:pgMar w:top="426" w:right="686" w:bottom="0" w:left="1134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Verdana">
    <w:panose1 w:val="020B0604030504040204"/>
  </w:font>
  <w:font w:name="Segoe UI">
    <w:panose1 w:val="020B0502040504020204"/>
  </w:font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65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63"/>
      <w:rPr>
        <w:rStyle w:val="864"/>
      </w:rPr>
      <w:framePr w:wrap="around" w:vAnchor="text" w:hAnchor="margin" w:xAlign="center" w:y="1"/>
    </w:pPr>
    <w:r>
      <w:rPr>
        <w:rStyle w:val="864"/>
      </w:rPr>
      <w:fldChar w:fldCharType="begin"/>
    </w:r>
    <w:r>
      <w:rPr>
        <w:rStyle w:val="864"/>
      </w:rPr>
      <w:instrText xml:space="preserve">PAGE  </w:instrText>
    </w:r>
    <w:r>
      <w:rPr>
        <w:rStyle w:val="864"/>
      </w:rPr>
      <w:fldChar w:fldCharType="separate"/>
    </w:r>
    <w:r>
      <w:rPr>
        <w:rStyle w:val="864"/>
      </w:rPr>
      <w:t xml:space="preserve">2</w:t>
    </w:r>
    <w:r>
      <w:rPr>
        <w:rStyle w:val="864"/>
      </w:rPr>
      <w:fldChar w:fldCharType="end"/>
    </w:r>
    <w:r>
      <w:rPr>
        <w:rStyle w:val="864"/>
      </w:rPr>
    </w:r>
    <w:r/>
  </w:p>
  <w:p>
    <w:pPr>
      <w:pStyle w:val="86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63"/>
      <w:rPr>
        <w:rStyle w:val="864"/>
      </w:rPr>
      <w:framePr w:wrap="around" w:vAnchor="text" w:hAnchor="margin" w:xAlign="center" w:y="1"/>
    </w:pPr>
    <w:r>
      <w:rPr>
        <w:rStyle w:val="864"/>
      </w:rPr>
      <w:fldChar w:fldCharType="begin"/>
    </w:r>
    <w:r>
      <w:rPr>
        <w:rStyle w:val="864"/>
      </w:rPr>
      <w:instrText xml:space="preserve">PAGE  </w:instrText>
    </w:r>
    <w:r>
      <w:rPr>
        <w:rStyle w:val="864"/>
      </w:rPr>
      <w:fldChar w:fldCharType="end"/>
    </w:r>
    <w:r>
      <w:rPr>
        <w:rStyle w:val="864"/>
      </w:rPr>
    </w:r>
    <w:r/>
  </w:p>
  <w:p>
    <w:pPr>
      <w:pStyle w:val="863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/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84">
    <w:name w:val="Heading 1"/>
    <w:basedOn w:val="859"/>
    <w:next w:val="859"/>
    <w:link w:val="68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85">
    <w:name w:val="Heading 1 Char"/>
    <w:basedOn w:val="860"/>
    <w:link w:val="684"/>
    <w:uiPriority w:val="9"/>
    <w:rPr>
      <w:rFonts w:ascii="Arial" w:hAnsi="Arial" w:eastAsia="Arial" w:cs="Arial"/>
      <w:sz w:val="40"/>
      <w:szCs w:val="40"/>
    </w:rPr>
  </w:style>
  <w:style w:type="paragraph" w:styleId="686">
    <w:name w:val="Heading 2"/>
    <w:basedOn w:val="859"/>
    <w:next w:val="859"/>
    <w:link w:val="68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7">
    <w:name w:val="Heading 2 Char"/>
    <w:basedOn w:val="860"/>
    <w:link w:val="686"/>
    <w:uiPriority w:val="9"/>
    <w:rPr>
      <w:rFonts w:ascii="Arial" w:hAnsi="Arial" w:eastAsia="Arial" w:cs="Arial"/>
      <w:sz w:val="34"/>
    </w:rPr>
  </w:style>
  <w:style w:type="paragraph" w:styleId="688">
    <w:name w:val="Heading 3"/>
    <w:basedOn w:val="859"/>
    <w:next w:val="859"/>
    <w:link w:val="68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9">
    <w:name w:val="Heading 3 Char"/>
    <w:basedOn w:val="860"/>
    <w:link w:val="688"/>
    <w:uiPriority w:val="9"/>
    <w:rPr>
      <w:rFonts w:ascii="Arial" w:hAnsi="Arial" w:eastAsia="Arial" w:cs="Arial"/>
      <w:sz w:val="30"/>
      <w:szCs w:val="30"/>
    </w:rPr>
  </w:style>
  <w:style w:type="paragraph" w:styleId="690">
    <w:name w:val="Heading 4"/>
    <w:basedOn w:val="859"/>
    <w:next w:val="859"/>
    <w:link w:val="69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91">
    <w:name w:val="Heading 4 Char"/>
    <w:basedOn w:val="860"/>
    <w:link w:val="690"/>
    <w:uiPriority w:val="9"/>
    <w:rPr>
      <w:rFonts w:ascii="Arial" w:hAnsi="Arial" w:eastAsia="Arial" w:cs="Arial"/>
      <w:b/>
      <w:bCs/>
      <w:sz w:val="26"/>
      <w:szCs w:val="26"/>
    </w:rPr>
  </w:style>
  <w:style w:type="paragraph" w:styleId="692">
    <w:name w:val="Heading 5"/>
    <w:basedOn w:val="859"/>
    <w:next w:val="859"/>
    <w:link w:val="69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93">
    <w:name w:val="Heading 5 Char"/>
    <w:basedOn w:val="860"/>
    <w:link w:val="692"/>
    <w:uiPriority w:val="9"/>
    <w:rPr>
      <w:rFonts w:ascii="Arial" w:hAnsi="Arial" w:eastAsia="Arial" w:cs="Arial"/>
      <w:b/>
      <w:bCs/>
      <w:sz w:val="24"/>
      <w:szCs w:val="24"/>
    </w:rPr>
  </w:style>
  <w:style w:type="paragraph" w:styleId="694">
    <w:name w:val="Heading 6"/>
    <w:basedOn w:val="859"/>
    <w:next w:val="859"/>
    <w:link w:val="69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95">
    <w:name w:val="Heading 6 Char"/>
    <w:basedOn w:val="860"/>
    <w:link w:val="694"/>
    <w:uiPriority w:val="9"/>
    <w:rPr>
      <w:rFonts w:ascii="Arial" w:hAnsi="Arial" w:eastAsia="Arial" w:cs="Arial"/>
      <w:b/>
      <w:bCs/>
      <w:sz w:val="22"/>
      <w:szCs w:val="22"/>
    </w:rPr>
  </w:style>
  <w:style w:type="paragraph" w:styleId="696">
    <w:name w:val="Heading 7"/>
    <w:basedOn w:val="859"/>
    <w:next w:val="859"/>
    <w:link w:val="69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7">
    <w:name w:val="Heading 7 Char"/>
    <w:basedOn w:val="860"/>
    <w:link w:val="69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8">
    <w:name w:val="Heading 8"/>
    <w:basedOn w:val="859"/>
    <w:next w:val="859"/>
    <w:link w:val="69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9">
    <w:name w:val="Heading 8 Char"/>
    <w:basedOn w:val="860"/>
    <w:link w:val="698"/>
    <w:uiPriority w:val="9"/>
    <w:rPr>
      <w:rFonts w:ascii="Arial" w:hAnsi="Arial" w:eastAsia="Arial" w:cs="Arial"/>
      <w:i/>
      <w:iCs/>
      <w:sz w:val="22"/>
      <w:szCs w:val="22"/>
    </w:rPr>
  </w:style>
  <w:style w:type="paragraph" w:styleId="700">
    <w:name w:val="Heading 9"/>
    <w:basedOn w:val="859"/>
    <w:next w:val="859"/>
    <w:link w:val="70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1">
    <w:name w:val="Heading 9 Char"/>
    <w:basedOn w:val="860"/>
    <w:link w:val="700"/>
    <w:uiPriority w:val="9"/>
    <w:rPr>
      <w:rFonts w:ascii="Arial" w:hAnsi="Arial" w:eastAsia="Arial" w:cs="Arial"/>
      <w:i/>
      <w:iCs/>
      <w:sz w:val="21"/>
      <w:szCs w:val="21"/>
    </w:rPr>
  </w:style>
  <w:style w:type="paragraph" w:styleId="702">
    <w:name w:val="List Paragraph"/>
    <w:basedOn w:val="859"/>
    <w:uiPriority w:val="34"/>
    <w:qFormat/>
    <w:pPr>
      <w:contextualSpacing/>
      <w:ind w:left="720"/>
    </w:pPr>
  </w:style>
  <w:style w:type="paragraph" w:styleId="703">
    <w:name w:val="No Spacing"/>
    <w:uiPriority w:val="1"/>
    <w:qFormat/>
    <w:pPr>
      <w:spacing w:before="0" w:after="0" w:line="240" w:lineRule="auto"/>
    </w:pPr>
  </w:style>
  <w:style w:type="paragraph" w:styleId="704">
    <w:name w:val="Title"/>
    <w:basedOn w:val="859"/>
    <w:next w:val="859"/>
    <w:link w:val="70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05">
    <w:name w:val="Title Char"/>
    <w:basedOn w:val="860"/>
    <w:link w:val="704"/>
    <w:uiPriority w:val="10"/>
    <w:rPr>
      <w:sz w:val="48"/>
      <w:szCs w:val="48"/>
    </w:rPr>
  </w:style>
  <w:style w:type="paragraph" w:styleId="706">
    <w:name w:val="Subtitle"/>
    <w:basedOn w:val="859"/>
    <w:next w:val="859"/>
    <w:link w:val="707"/>
    <w:uiPriority w:val="11"/>
    <w:qFormat/>
    <w:pPr>
      <w:spacing w:before="200" w:after="200"/>
    </w:pPr>
    <w:rPr>
      <w:sz w:val="24"/>
      <w:szCs w:val="24"/>
    </w:rPr>
  </w:style>
  <w:style w:type="character" w:styleId="707">
    <w:name w:val="Subtitle Char"/>
    <w:basedOn w:val="860"/>
    <w:link w:val="706"/>
    <w:uiPriority w:val="11"/>
    <w:rPr>
      <w:sz w:val="24"/>
      <w:szCs w:val="24"/>
    </w:rPr>
  </w:style>
  <w:style w:type="paragraph" w:styleId="708">
    <w:name w:val="Quote"/>
    <w:basedOn w:val="859"/>
    <w:next w:val="859"/>
    <w:link w:val="709"/>
    <w:uiPriority w:val="29"/>
    <w:qFormat/>
    <w:pPr>
      <w:ind w:left="720" w:right="720"/>
    </w:pPr>
    <w:rPr>
      <w:i/>
    </w:rPr>
  </w:style>
  <w:style w:type="character" w:styleId="709">
    <w:name w:val="Quote Char"/>
    <w:link w:val="708"/>
    <w:uiPriority w:val="29"/>
    <w:rPr>
      <w:i/>
    </w:rPr>
  </w:style>
  <w:style w:type="paragraph" w:styleId="710">
    <w:name w:val="Intense Quote"/>
    <w:basedOn w:val="859"/>
    <w:next w:val="859"/>
    <w:link w:val="71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1">
    <w:name w:val="Intense Quote Char"/>
    <w:link w:val="710"/>
    <w:uiPriority w:val="30"/>
    <w:rPr>
      <w:i/>
    </w:rPr>
  </w:style>
  <w:style w:type="character" w:styleId="712">
    <w:name w:val="Header Char"/>
    <w:basedOn w:val="860"/>
    <w:link w:val="863"/>
    <w:uiPriority w:val="99"/>
  </w:style>
  <w:style w:type="character" w:styleId="713">
    <w:name w:val="Footer Char"/>
    <w:basedOn w:val="860"/>
    <w:link w:val="865"/>
    <w:uiPriority w:val="99"/>
  </w:style>
  <w:style w:type="paragraph" w:styleId="714">
    <w:name w:val="Caption"/>
    <w:basedOn w:val="859"/>
    <w:next w:val="85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5">
    <w:name w:val="Caption Char"/>
    <w:basedOn w:val="714"/>
    <w:link w:val="865"/>
    <w:uiPriority w:val="99"/>
  </w:style>
  <w:style w:type="table" w:styleId="716">
    <w:name w:val="Table Grid"/>
    <w:basedOn w:val="86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7">
    <w:name w:val="Table Grid Light"/>
    <w:basedOn w:val="86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8">
    <w:name w:val="Plain Table 1"/>
    <w:basedOn w:val="86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9">
    <w:name w:val="Plain Table 2"/>
    <w:basedOn w:val="86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0">
    <w:name w:val="Plain Table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1">
    <w:name w:val="Plain Table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Plain Table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3">
    <w:name w:val="Grid Table 1 Light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1 Light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Grid Table 1 Light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Grid Table 1 Light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Grid Table 1 Light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Grid Table 1 Light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Grid Table 1 Light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2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2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2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2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2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2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3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3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3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3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3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3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4"/>
    <w:basedOn w:val="8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5">
    <w:name w:val="Grid Table 4 - Accent 1"/>
    <w:basedOn w:val="8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6">
    <w:name w:val="Grid Table 4 - Accent 2"/>
    <w:basedOn w:val="8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7">
    <w:name w:val="Grid Table 4 - Accent 3"/>
    <w:basedOn w:val="8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8">
    <w:name w:val="Grid Table 4 - Accent 4"/>
    <w:basedOn w:val="8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9">
    <w:name w:val="Grid Table 4 - Accent 5"/>
    <w:basedOn w:val="8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0">
    <w:name w:val="Grid Table 4 - Accent 6"/>
    <w:basedOn w:val="8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1">
    <w:name w:val="Grid Table 5 Dark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2">
    <w:name w:val="Grid Table 5 Dark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53">
    <w:name w:val="Grid Table 5 Dark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54">
    <w:name w:val="Grid Table 5 Dark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55">
    <w:name w:val="Grid Table 5 Dark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56">
    <w:name w:val="Grid Table 5 Dark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57">
    <w:name w:val="Grid Table 5 Dark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8">
    <w:name w:val="Grid Table 6 Colorful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9">
    <w:name w:val="Grid Table 6 Colorful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0">
    <w:name w:val="Grid Table 6 Colorful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1">
    <w:name w:val="Grid Table 6 Colorful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2">
    <w:name w:val="Grid Table 6 Colorful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3">
    <w:name w:val="Grid Table 6 Colorful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4">
    <w:name w:val="Grid Table 6 Colorful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5">
    <w:name w:val="Grid Table 7 Colorful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7 Colorful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7 Colorful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7 Colorful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7 Colorful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7 Colorful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7 Colorful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1 Light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1 Light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1 Light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List Table 1 Light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1 Light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1 Light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0">
    <w:name w:val="List Table 2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1">
    <w:name w:val="List Table 2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2">
    <w:name w:val="List Table 2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3">
    <w:name w:val="List Table 2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4">
    <w:name w:val="List Table 2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5">
    <w:name w:val="List Table 2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6">
    <w:name w:val="List Table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3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3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3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3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3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3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4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4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4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4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4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5 Dark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1">
    <w:name w:val="List Table 5 Dark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2">
    <w:name w:val="List Table 5 Dark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3">
    <w:name w:val="List Table 5 Dark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4">
    <w:name w:val="List Table 5 Dark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5">
    <w:name w:val="List Table 5 Dark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6">
    <w:name w:val="List Table 5 Dark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7">
    <w:name w:val="List Table 6 Colorful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8">
    <w:name w:val="List Table 6 Colorful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9">
    <w:name w:val="List Table 6 Colorful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0">
    <w:name w:val="List Table 6 Colorful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1">
    <w:name w:val="List Table 6 Colorful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2">
    <w:name w:val="List Table 6 Colorful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3">
    <w:name w:val="List Table 6 Colorful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4">
    <w:name w:val="List Table 7 Colorful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5">
    <w:name w:val="List Table 7 Colorful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16">
    <w:name w:val="List Table 7 Colorful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17">
    <w:name w:val="List Table 7 Colorful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8">
    <w:name w:val="List Table 7 Colorful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9">
    <w:name w:val="List Table 7 Colorful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20">
    <w:name w:val="List Table 7 Colorful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21">
    <w:name w:val="Lined - Accent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2">
    <w:name w:val="Lined - Accent 1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3">
    <w:name w:val="Lined - Accent 2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4">
    <w:name w:val="Lined - Accent 3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5">
    <w:name w:val="Lined - Accent 4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6">
    <w:name w:val="Lined - Accent 5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7">
    <w:name w:val="Lined - Accent 6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8">
    <w:name w:val="Bordered &amp; Lined - Accent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9">
    <w:name w:val="Bordered &amp; Lined - Accent 1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30">
    <w:name w:val="Bordered &amp; Lined - Accent 2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1">
    <w:name w:val="Bordered &amp; Lined - Accent 3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32">
    <w:name w:val="Bordered &amp; Lined - Accent 4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33">
    <w:name w:val="Bordered &amp; Lined - Accent 5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34">
    <w:name w:val="Bordered &amp; Lined - Accent 6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35">
    <w:name w:val="Bordered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6">
    <w:name w:val="Bordered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7">
    <w:name w:val="Bordered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8">
    <w:name w:val="Bordered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9">
    <w:name w:val="Bordered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0">
    <w:name w:val="Bordered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1">
    <w:name w:val="Bordered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42">
    <w:name w:val="footnote text"/>
    <w:basedOn w:val="859"/>
    <w:link w:val="843"/>
    <w:uiPriority w:val="99"/>
    <w:semiHidden/>
    <w:unhideWhenUsed/>
    <w:pPr>
      <w:spacing w:after="40" w:line="240" w:lineRule="auto"/>
    </w:pPr>
    <w:rPr>
      <w:sz w:val="18"/>
    </w:rPr>
  </w:style>
  <w:style w:type="character" w:styleId="843">
    <w:name w:val="Footnote Text Char"/>
    <w:link w:val="842"/>
    <w:uiPriority w:val="99"/>
    <w:rPr>
      <w:sz w:val="18"/>
    </w:rPr>
  </w:style>
  <w:style w:type="character" w:styleId="844">
    <w:name w:val="footnote reference"/>
    <w:basedOn w:val="860"/>
    <w:uiPriority w:val="99"/>
    <w:unhideWhenUsed/>
    <w:rPr>
      <w:vertAlign w:val="superscript"/>
    </w:rPr>
  </w:style>
  <w:style w:type="paragraph" w:styleId="845">
    <w:name w:val="endnote text"/>
    <w:basedOn w:val="859"/>
    <w:link w:val="846"/>
    <w:uiPriority w:val="99"/>
    <w:semiHidden/>
    <w:unhideWhenUsed/>
    <w:pPr>
      <w:spacing w:after="0" w:line="240" w:lineRule="auto"/>
    </w:pPr>
    <w:rPr>
      <w:sz w:val="20"/>
    </w:rPr>
  </w:style>
  <w:style w:type="character" w:styleId="846">
    <w:name w:val="Endnote Text Char"/>
    <w:link w:val="845"/>
    <w:uiPriority w:val="99"/>
    <w:rPr>
      <w:sz w:val="20"/>
    </w:rPr>
  </w:style>
  <w:style w:type="character" w:styleId="847">
    <w:name w:val="endnote reference"/>
    <w:basedOn w:val="860"/>
    <w:uiPriority w:val="99"/>
    <w:semiHidden/>
    <w:unhideWhenUsed/>
    <w:rPr>
      <w:vertAlign w:val="superscript"/>
    </w:rPr>
  </w:style>
  <w:style w:type="paragraph" w:styleId="848">
    <w:name w:val="toc 1"/>
    <w:basedOn w:val="859"/>
    <w:next w:val="859"/>
    <w:uiPriority w:val="39"/>
    <w:unhideWhenUsed/>
    <w:pPr>
      <w:ind w:left="0" w:right="0" w:firstLine="0"/>
      <w:spacing w:after="57"/>
    </w:pPr>
  </w:style>
  <w:style w:type="paragraph" w:styleId="849">
    <w:name w:val="toc 2"/>
    <w:basedOn w:val="859"/>
    <w:next w:val="859"/>
    <w:uiPriority w:val="39"/>
    <w:unhideWhenUsed/>
    <w:pPr>
      <w:ind w:left="283" w:right="0" w:firstLine="0"/>
      <w:spacing w:after="57"/>
    </w:pPr>
  </w:style>
  <w:style w:type="paragraph" w:styleId="850">
    <w:name w:val="toc 3"/>
    <w:basedOn w:val="859"/>
    <w:next w:val="859"/>
    <w:uiPriority w:val="39"/>
    <w:unhideWhenUsed/>
    <w:pPr>
      <w:ind w:left="567" w:right="0" w:firstLine="0"/>
      <w:spacing w:after="57"/>
    </w:pPr>
  </w:style>
  <w:style w:type="paragraph" w:styleId="851">
    <w:name w:val="toc 4"/>
    <w:basedOn w:val="859"/>
    <w:next w:val="859"/>
    <w:uiPriority w:val="39"/>
    <w:unhideWhenUsed/>
    <w:pPr>
      <w:ind w:left="850" w:right="0" w:firstLine="0"/>
      <w:spacing w:after="57"/>
    </w:pPr>
  </w:style>
  <w:style w:type="paragraph" w:styleId="852">
    <w:name w:val="toc 5"/>
    <w:basedOn w:val="859"/>
    <w:next w:val="859"/>
    <w:uiPriority w:val="39"/>
    <w:unhideWhenUsed/>
    <w:pPr>
      <w:ind w:left="1134" w:right="0" w:firstLine="0"/>
      <w:spacing w:after="57"/>
    </w:pPr>
  </w:style>
  <w:style w:type="paragraph" w:styleId="853">
    <w:name w:val="toc 6"/>
    <w:basedOn w:val="859"/>
    <w:next w:val="859"/>
    <w:uiPriority w:val="39"/>
    <w:unhideWhenUsed/>
    <w:pPr>
      <w:ind w:left="1417" w:right="0" w:firstLine="0"/>
      <w:spacing w:after="57"/>
    </w:pPr>
  </w:style>
  <w:style w:type="paragraph" w:styleId="854">
    <w:name w:val="toc 7"/>
    <w:basedOn w:val="859"/>
    <w:next w:val="859"/>
    <w:uiPriority w:val="39"/>
    <w:unhideWhenUsed/>
    <w:pPr>
      <w:ind w:left="1701" w:right="0" w:firstLine="0"/>
      <w:spacing w:after="57"/>
    </w:pPr>
  </w:style>
  <w:style w:type="paragraph" w:styleId="855">
    <w:name w:val="toc 8"/>
    <w:basedOn w:val="859"/>
    <w:next w:val="859"/>
    <w:uiPriority w:val="39"/>
    <w:unhideWhenUsed/>
    <w:pPr>
      <w:ind w:left="1984" w:right="0" w:firstLine="0"/>
      <w:spacing w:after="57"/>
    </w:pPr>
  </w:style>
  <w:style w:type="paragraph" w:styleId="856">
    <w:name w:val="toc 9"/>
    <w:basedOn w:val="859"/>
    <w:next w:val="859"/>
    <w:uiPriority w:val="39"/>
    <w:unhideWhenUsed/>
    <w:pPr>
      <w:ind w:left="2268" w:right="0" w:firstLine="0"/>
      <w:spacing w:after="57"/>
    </w:pPr>
  </w:style>
  <w:style w:type="paragraph" w:styleId="857">
    <w:name w:val="TOC Heading"/>
    <w:uiPriority w:val="39"/>
    <w:unhideWhenUsed/>
  </w:style>
  <w:style w:type="paragraph" w:styleId="858">
    <w:name w:val="table of figures"/>
    <w:basedOn w:val="859"/>
    <w:next w:val="859"/>
    <w:uiPriority w:val="99"/>
    <w:unhideWhenUsed/>
    <w:pPr>
      <w:spacing w:after="0" w:afterAutospacing="0"/>
    </w:pPr>
  </w:style>
  <w:style w:type="paragraph" w:styleId="859" w:default="1">
    <w:name w:val="Normal"/>
    <w:qFormat/>
    <w:rPr>
      <w:sz w:val="24"/>
      <w:szCs w:val="24"/>
    </w:rPr>
  </w:style>
  <w:style w:type="character" w:styleId="860" w:default="1">
    <w:name w:val="Default Paragraph Font"/>
    <w:uiPriority w:val="1"/>
    <w:semiHidden/>
    <w:unhideWhenUsed/>
  </w:style>
  <w:style w:type="table" w:styleId="86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2" w:default="1">
    <w:name w:val="No List"/>
    <w:uiPriority w:val="99"/>
    <w:semiHidden/>
    <w:unhideWhenUsed/>
  </w:style>
  <w:style w:type="paragraph" w:styleId="863">
    <w:name w:val="Header"/>
    <w:basedOn w:val="859"/>
    <w:link w:val="867"/>
    <w:pPr>
      <w:tabs>
        <w:tab w:val="center" w:pos="4677" w:leader="none"/>
        <w:tab w:val="right" w:pos="9355" w:leader="none"/>
      </w:tabs>
    </w:pPr>
  </w:style>
  <w:style w:type="character" w:styleId="864">
    <w:name w:val="page number"/>
    <w:basedOn w:val="860"/>
  </w:style>
  <w:style w:type="paragraph" w:styleId="865">
    <w:name w:val="Footer"/>
    <w:basedOn w:val="859"/>
    <w:pPr>
      <w:tabs>
        <w:tab w:val="center" w:pos="4677" w:leader="none"/>
        <w:tab w:val="right" w:pos="9355" w:leader="none"/>
      </w:tabs>
    </w:pPr>
  </w:style>
  <w:style w:type="character" w:styleId="866">
    <w:name w:val="Hyperlink"/>
    <w:rPr>
      <w:color w:val="0000ff"/>
      <w:u w:val="single"/>
    </w:rPr>
  </w:style>
  <w:style w:type="character" w:styleId="867" w:customStyle="1">
    <w:name w:val="Верхний колонтитул Знак"/>
    <w:link w:val="863"/>
    <w:rPr>
      <w:sz w:val="24"/>
      <w:szCs w:val="24"/>
      <w:lang w:bidi="ar-SA"/>
    </w:rPr>
  </w:style>
  <w:style w:type="paragraph" w:styleId="868" w:customStyle="1">
    <w:name w:val="ConsPlusNormal"/>
    <w:link w:val="871"/>
    <w:pPr>
      <w:widowControl w:val="off"/>
    </w:pPr>
    <w:rPr>
      <w:rFonts w:ascii="Arial" w:hAnsi="Arial" w:cs="Arial"/>
    </w:rPr>
  </w:style>
  <w:style w:type="paragraph" w:styleId="869">
    <w:name w:val="Balloon Text"/>
    <w:basedOn w:val="859"/>
    <w:link w:val="870"/>
    <w:rPr>
      <w:rFonts w:ascii="Segoe UI" w:hAnsi="Segoe UI" w:cs="Segoe UI"/>
      <w:sz w:val="18"/>
      <w:szCs w:val="18"/>
    </w:rPr>
  </w:style>
  <w:style w:type="character" w:styleId="870" w:customStyle="1">
    <w:name w:val="Текст выноски Знак"/>
    <w:link w:val="869"/>
    <w:rPr>
      <w:rFonts w:ascii="Segoe UI" w:hAnsi="Segoe UI" w:cs="Segoe UI"/>
      <w:sz w:val="18"/>
      <w:szCs w:val="18"/>
    </w:rPr>
  </w:style>
  <w:style w:type="character" w:styleId="871" w:customStyle="1">
    <w:name w:val="ConsPlusNormal Знак"/>
    <w:link w:val="868"/>
    <w:rPr>
      <w:rFonts w:ascii="Arial" w:hAnsi="Arial" w:cs="Arial"/>
      <w:lang w:val="ru-RU" w:eastAsia="ru-RU" w:bidi="ar-SA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hyperlink" Target="http://putivskaya_is@belgov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Р7-Офис/7.2.2.0</Application>
  <Company>MoBIL GROUP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*</dc:creator>
  <cp:keywords/>
  <cp:revision>9</cp:revision>
  <dcterms:created xsi:type="dcterms:W3CDTF">2023-03-09T13:42:00Z</dcterms:created>
  <dcterms:modified xsi:type="dcterms:W3CDTF">2026-10-15T11:25:51Z</dcterms:modified>
</cp:coreProperties>
</file>