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19"/>
        <w:jc w:val="center"/>
        <w:pageBreakBefore w:val="0"/>
        <w:rPr>
          <w:rFonts w:hint="default" w:ascii="Times New Roman" w:hAnsi="Times New Roman" w:cs="Times New Roman"/>
          <w:b/>
          <w:color w:val="auto"/>
          <w:sz w:val="26"/>
          <w:szCs w:val="26"/>
          <w:highlight w:val="none"/>
        </w:rPr>
      </w:pPr>
      <w:r/>
      <w:bookmarkStart w:id="0" w:name="P439"/>
      <w:r/>
      <w:bookmarkEnd w:id="0"/>
      <w:r>
        <w:rPr>
          <w:rFonts w:hint="default" w:ascii="Times New Roman" w:hAnsi="Times New Roman" w:cs="Times New Roman"/>
          <w:b/>
          <w:color w:val="auto"/>
          <w:sz w:val="26"/>
          <w:szCs w:val="26"/>
        </w:rPr>
        <w:t xml:space="preserve">Сводный отчет</w:t>
      </w:r>
      <w:r/>
    </w:p>
    <w:p>
      <w:pPr>
        <w:pStyle w:val="719"/>
        <w:jc w:val="center"/>
        <w:rPr>
          <w:rFonts w:hint="default" w:ascii="Times New Roman" w:hAnsi="Times New Roman" w:cs="Times New Roman"/>
          <w:b/>
          <w:color w:val="auto"/>
          <w:sz w:val="26"/>
          <w:szCs w:val="26"/>
          <w:highlight w:val="none"/>
        </w:rPr>
      </w:pPr>
      <w:r>
        <w:rPr>
          <w:rFonts w:hint="default" w:ascii="Times New Roman" w:hAnsi="Times New Roman" w:cs="Times New Roman"/>
          <w:b/>
          <w:color w:val="auto"/>
          <w:sz w:val="26"/>
          <w:szCs w:val="26"/>
        </w:rPr>
        <w:t xml:space="preserve">о результатах проведения оценки регулирующего воздействия</w:t>
      </w:r>
      <w:r/>
    </w:p>
    <w:p>
      <w:pPr>
        <w:pStyle w:val="719"/>
        <w:jc w:val="center"/>
        <w:rPr>
          <w:rFonts w:hint="default" w:ascii="Times New Roman" w:hAnsi="Times New Roman" w:cs="Times New Roman"/>
          <w:b/>
          <w:color w:val="auto"/>
          <w:sz w:val="26"/>
          <w:szCs w:val="26"/>
          <w:highlight w:val="none"/>
        </w:rPr>
      </w:pPr>
      <w:r>
        <w:rPr>
          <w:rFonts w:hint="default" w:ascii="Times New Roman" w:hAnsi="Times New Roman" w:cs="Times New Roman"/>
          <w:b/>
          <w:color w:val="auto"/>
          <w:sz w:val="26"/>
          <w:szCs w:val="26"/>
        </w:rPr>
        <w:t xml:space="preserve">проекта нормативного правового акта</w:t>
      </w:r>
      <w:r/>
    </w:p>
    <w:p>
      <w:pPr>
        <w:pStyle w:val="719"/>
        <w:jc w:val="center"/>
        <w:rPr>
          <w:rFonts w:hint="default" w:ascii="Times New Roman" w:hAnsi="Times New Roman" w:cs="Times New Roman"/>
          <w:b/>
          <w:color w:val="auto"/>
          <w:sz w:val="26"/>
          <w:szCs w:val="26"/>
          <w:highlight w:val="none"/>
        </w:rPr>
      </w:pPr>
      <w:r>
        <w:rPr>
          <w:rFonts w:hint="default" w:ascii="Times New Roman" w:hAnsi="Times New Roman" w:cs="Times New Roman"/>
          <w:b/>
          <w:color w:val="auto"/>
          <w:sz w:val="26"/>
          <w:szCs w:val="26"/>
          <w:highlight w:val="none"/>
        </w:rPr>
      </w:r>
      <w:r/>
    </w:p>
    <w:p>
      <w:pPr>
        <w:pStyle w:val="719"/>
        <w:jc w:val="center"/>
        <w:rPr>
          <w:rFonts w:hint="default" w:ascii="Times New Roman" w:hAnsi="Times New Roman" w:cs="Times New Roman"/>
          <w:b/>
          <w:color w:val="auto"/>
          <w:sz w:val="26"/>
          <w:szCs w:val="26"/>
          <w:highlight w:val="none"/>
        </w:rPr>
      </w:pPr>
      <w:r>
        <w:rPr>
          <w:rFonts w:hint="default" w:ascii="Times New Roman" w:hAnsi="Times New Roman" w:cs="Times New Roman"/>
          <w:b/>
          <w:color w:val="auto"/>
          <w:sz w:val="26"/>
          <w:szCs w:val="26"/>
          <w:highlight w:val="none"/>
        </w:rPr>
      </w:r>
      <w:r/>
    </w:p>
    <w:p>
      <w:pPr>
        <w:contextualSpacing/>
        <w:ind w:firstLine="709"/>
        <w:jc w:val="both"/>
        <w:spacing w:before="0" w:after="0" w:line="240" w:lineRule="auto"/>
        <w:rPr>
          <w:rFonts w:hint="default" w:ascii="Times New Roman" w:hAnsi="Times New Roman" w:eastAsia="Times New Roman" w:cs="Times New Roman"/>
          <w:b/>
          <w:bCs w:val="0"/>
          <w:color w:val="auto"/>
          <w:sz w:val="26"/>
          <w:szCs w:val="26"/>
          <w:highlight w:val="none"/>
        </w:rPr>
      </w:pPr>
      <w:r>
        <w:rPr>
          <w:rFonts w:hint="default" w:ascii="Times New Roman" w:hAnsi="Times New Roman" w:eastAsia="Times New Roman" w:cs="Times New Roman"/>
          <w:b/>
          <w:bCs w:val="0"/>
          <w:color w:val="auto"/>
          <w:sz w:val="26"/>
          <w:szCs w:val="26"/>
          <w:lang w:eastAsia="ru-RU"/>
        </w:rPr>
        <w:t xml:space="preserve">1. Общая информация:</w:t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color w:val="auto"/>
          <w:sz w:val="26"/>
          <w:szCs w:val="26"/>
          <w:lang w:eastAsia="ru-RU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  <w:lang w:eastAsia="ru-RU"/>
        </w:rPr>
        <w:t xml:space="preserve">1.1. Орган-разработчик: д</w:t>
      </w:r>
      <w:r>
        <w:rPr>
          <w:rFonts w:hint="default" w:ascii="Times New Roman" w:hAnsi="Times New Roman" w:eastAsia="Calibri" w:cs="Times New Roman"/>
          <w:color w:val="auto"/>
          <w:sz w:val="26"/>
          <w:szCs w:val="26"/>
          <w:lang w:val="en-US" w:eastAsia="ru-RU"/>
        </w:rPr>
        <w:t xml:space="preserve">епартамент потребительского рынка министерства сельского хозяйства и продовольствия Белгородской области</w:t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color w:val="auto"/>
          <w:sz w:val="26"/>
          <w:szCs w:val="26"/>
          <w:highlight w:val="none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  <w:lang w:eastAsia="ru-RU"/>
        </w:rPr>
        <w:t xml:space="preserve">1.2. Вид и наименование проекта нормативного правового акта:</w:t>
      </w:r>
      <w:r/>
    </w:p>
    <w:p>
      <w:pPr>
        <w:ind w:firstLine="709"/>
        <w:jc w:val="both"/>
        <w:spacing w:before="0" w:after="0" w:line="240" w:lineRule="auto"/>
        <w:widowControl w:val="off"/>
        <w:rPr>
          <w:rStyle w:val="650"/>
          <w:rFonts w:hint="default" w:ascii="Times New Roman" w:hAnsi="Times New Roman" w:cs="Times New Roman"/>
          <w:b w:val="0"/>
          <w:bCs w:val="0"/>
          <w:color w:val="auto"/>
          <w:sz w:val="26"/>
          <w:szCs w:val="26"/>
          <w:lang w:val="ru-RU"/>
        </w:rPr>
      </w:pPr>
      <w:r>
        <w:rPr>
          <w:rStyle w:val="650"/>
          <w:rFonts w:hint="default" w:ascii="Times New Roman" w:hAnsi="Times New Roman" w:cs="Times New Roman"/>
          <w:b w:val="0"/>
          <w:bCs w:val="0"/>
          <w:color w:val="auto"/>
          <w:sz w:val="26"/>
          <w:szCs w:val="26"/>
          <w:lang w:val="ru-RU" w:eastAsia="zh-CN"/>
        </w:rPr>
        <w:t xml:space="preserve">проект постановления Правительства Белгородской области «О внесении изменений в постановление</w:t>
      </w:r>
      <w:r>
        <w:rPr>
          <w:rStyle w:val="650"/>
          <w:rFonts w:hint="default" w:ascii="Times New Roman" w:hAnsi="Times New Roman" w:cs="Times New Roman"/>
          <w:b w:val="0"/>
          <w:bCs w:val="0"/>
          <w:color w:val="auto"/>
          <w:sz w:val="26"/>
          <w:szCs w:val="26"/>
          <w:lang w:val="ru-RU" w:eastAsia="zh-CN"/>
        </w:rPr>
        <w:t xml:space="preserve"> Правительства Белгородской области от 28 февраля 2011 года № 71-пп «Об определении порядка разработки и утверждения органами местного самоуправления муниципальных районов, муниципальных и городских округов схем размещения нестационарных торговых объектов»</w:t>
      </w:r>
      <w:r/>
    </w:p>
    <w:p>
      <w:pPr>
        <w:ind w:firstLine="709"/>
        <w:jc w:val="both"/>
        <w:spacing w:before="0" w:after="0" w:line="240" w:lineRule="auto"/>
        <w:widowControl w:val="off"/>
        <w:rPr>
          <w:rFonts w:hint="default" w:ascii="Times New Roman" w:hAnsi="Times New Roman" w:eastAsia="Times New Roman" w:cs="Times New Roman"/>
          <w:color w:val="auto"/>
          <w:sz w:val="26"/>
          <w:szCs w:val="26"/>
          <w:highlight w:val="none"/>
        </w:rPr>
      </w:pPr>
      <w:r>
        <w:rPr>
          <w:rFonts w:hint="default" w:ascii="Times New Roman" w:hAnsi="Times New Roman" w:eastAsia="Times New Roman" w:cs="Times New Roman"/>
          <w:color w:val="auto"/>
          <w:sz w:val="26"/>
          <w:szCs w:val="26"/>
        </w:rPr>
        <w:t xml:space="preserve">1.3. Сроки проведения публичного обсуждения проекта нормативного правового </w:t>
      </w:r>
      <w:r>
        <w:rPr>
          <w:rFonts w:hint="default" w:ascii="Times New Roman" w:hAnsi="Times New Roman" w:eastAsia="Times New Roman" w:cs="Times New Roman"/>
          <w:color w:val="auto"/>
          <w:sz w:val="26"/>
          <w:szCs w:val="26"/>
          <w:highlight w:val="none"/>
        </w:rPr>
        <w:t xml:space="preserve">акта: </w:t>
      </w:r>
      <w:r>
        <w:rPr>
          <w:rFonts w:hint="default" w:ascii="Times New Roman" w:hAnsi="Times New Roman" w:eastAsia="Times New Roman" w:cs="Times New Roman"/>
          <w:color w:val="auto"/>
          <w:sz w:val="26"/>
          <w:szCs w:val="26"/>
          <w:highlight w:val="none"/>
        </w:rPr>
        <w:t xml:space="preserve">с «21» </w:t>
      </w:r>
      <w:r>
        <w:rPr>
          <w:rFonts w:hint="default" w:ascii="Times New Roman" w:hAnsi="Times New Roman" w:eastAsia="Times New Roman" w:cs="Times New Roman"/>
          <w:color w:val="auto"/>
          <w:sz w:val="26"/>
          <w:szCs w:val="26"/>
          <w:highlight w:val="none"/>
          <w:lang w:val="ru-RU"/>
        </w:rPr>
        <w:t xml:space="preserve">августа</w:t>
      </w:r>
      <w:r>
        <w:rPr>
          <w:rFonts w:hint="default" w:ascii="Times New Roman" w:hAnsi="Times New Roman" w:eastAsia="Times New Roman" w:cs="Times New Roman"/>
          <w:color w:val="auto"/>
          <w:sz w:val="26"/>
          <w:szCs w:val="26"/>
          <w:highlight w:val="none"/>
        </w:rPr>
        <w:t xml:space="preserve"> 202</w:t>
      </w:r>
      <w:r>
        <w:rPr>
          <w:rFonts w:hint="default" w:ascii="Times New Roman" w:hAnsi="Times New Roman" w:eastAsia="Times New Roman" w:cs="Times New Roman"/>
          <w:color w:val="auto"/>
          <w:sz w:val="26"/>
          <w:szCs w:val="26"/>
          <w:highlight w:val="none"/>
          <w:lang w:val="ru-RU"/>
        </w:rPr>
        <w:t xml:space="preserve">6</w:t>
      </w:r>
      <w:r>
        <w:rPr>
          <w:rFonts w:hint="default" w:ascii="Times New Roman" w:hAnsi="Times New Roman" w:eastAsia="Times New Roman" w:cs="Times New Roman"/>
          <w:color w:val="auto"/>
          <w:sz w:val="26"/>
          <w:szCs w:val="26"/>
          <w:highlight w:val="none"/>
        </w:rPr>
        <w:t xml:space="preserve"> года по «</w:t>
      </w:r>
      <w:r>
        <w:rPr>
          <w:rFonts w:hint="default" w:ascii="Times New Roman" w:hAnsi="Times New Roman" w:eastAsia="Times New Roman" w:cs="Times New Roman"/>
          <w:color w:val="auto"/>
          <w:sz w:val="26"/>
          <w:szCs w:val="26"/>
          <w:highlight w:val="none"/>
        </w:rPr>
        <w:t xml:space="preserve">03» </w:t>
      </w:r>
      <w:r>
        <w:rPr>
          <w:rFonts w:hint="default" w:ascii="Times New Roman" w:hAnsi="Times New Roman" w:eastAsia="Times New Roman" w:cs="Times New Roman"/>
          <w:color w:val="auto"/>
          <w:sz w:val="26"/>
          <w:szCs w:val="26"/>
          <w:highlight w:val="none"/>
        </w:rPr>
        <w:t xml:space="preserve">сентября 202</w:t>
      </w:r>
      <w:r>
        <w:rPr>
          <w:rFonts w:hint="default" w:ascii="Times New Roman" w:hAnsi="Times New Roman" w:eastAsia="Times New Roman" w:cs="Times New Roman"/>
          <w:color w:val="auto"/>
          <w:sz w:val="26"/>
          <w:szCs w:val="26"/>
          <w:highlight w:val="none"/>
          <w:lang w:val="ru-RU"/>
        </w:rPr>
        <w:t xml:space="preserve">6</w:t>
      </w:r>
      <w:r>
        <w:rPr>
          <w:rFonts w:hint="default" w:ascii="Times New Roman" w:hAnsi="Times New Roman" w:eastAsia="Times New Roman" w:cs="Times New Roman"/>
          <w:color w:val="auto"/>
          <w:sz w:val="26"/>
          <w:szCs w:val="26"/>
          <w:highlight w:val="none"/>
        </w:rPr>
        <w:t xml:space="preserve"> года.</w:t>
      </w:r>
      <w:r>
        <w:rPr>
          <w:highlight w:val="none"/>
        </w:rPr>
      </w:r>
      <w:r/>
    </w:p>
    <w:p>
      <w:pPr>
        <w:ind w:firstLine="709"/>
        <w:jc w:val="both"/>
        <w:spacing w:before="0" w:after="0" w:line="240" w:lineRule="auto"/>
        <w:widowControl w:val="off"/>
        <w:rPr>
          <w:rFonts w:hint="default" w:ascii="Times New Roman" w:hAnsi="Times New Roman" w:eastAsia="Times New Roman" w:cs="Times New Roman"/>
          <w:color w:val="auto"/>
          <w:sz w:val="26"/>
          <w:szCs w:val="26"/>
          <w:highlight w:val="none"/>
        </w:rPr>
      </w:pPr>
      <w:r>
        <w:rPr>
          <w:rFonts w:hint="default" w:ascii="Times New Roman" w:hAnsi="Times New Roman" w:eastAsia="Times New Roman" w:cs="Times New Roman"/>
          <w:color w:val="auto"/>
          <w:sz w:val="26"/>
          <w:szCs w:val="26"/>
        </w:rPr>
        <w:t xml:space="preserve">1.4. Степень регулирующего воздействия проекта нормативного правового акта: </w:t>
      </w:r>
      <w:r>
        <w:rPr>
          <w:rFonts w:hint="default" w:ascii="Times New Roman" w:hAnsi="Times New Roman" w:eastAsia="Times New Roman" w:cs="Times New Roman"/>
          <w:color w:val="auto"/>
          <w:sz w:val="26"/>
          <w:szCs w:val="26"/>
          <w:highlight w:val="none"/>
        </w:rPr>
        <w:t xml:space="preserve">Средняя.</w:t>
      </w:r>
      <w:r>
        <w:rPr>
          <w:highlight w:val="none"/>
        </w:rPr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cs="Times New Roman"/>
          <w:color w:val="auto"/>
          <w:sz w:val="26"/>
          <w:szCs w:val="26"/>
          <w:highlight w:val="none"/>
        </w:rPr>
      </w:pPr>
      <w:r>
        <w:rPr>
          <w:rFonts w:hint="default" w:ascii="Times New Roman" w:hAnsi="Times New Roman" w:cs="Times New Roman"/>
          <w:color w:val="auto"/>
          <w:sz w:val="26"/>
          <w:szCs w:val="26"/>
          <w:highlight w:val="none"/>
          <w:lang w:val="ru-RU" w:eastAsia="zh-CN"/>
        </w:rPr>
        <w:t xml:space="preserve">проект постановления Правительства Белгородской области разработан в целях реализации права Белгородской области,</w:t>
      </w:r>
      <w:r>
        <w:rPr>
          <w:rFonts w:hint="default" w:ascii="Times New Roman" w:hAnsi="Times New Roman" w:cs="Times New Roman"/>
          <w:color w:val="auto"/>
          <w:sz w:val="26"/>
          <w:szCs w:val="26"/>
          <w:highlight w:val="none"/>
          <w:lang w:val="ru-RU" w:eastAsia="zh-CN"/>
        </w:rPr>
        <w:t xml:space="preserve"> предоставленного Федеральным законом от 30 января 2026 года № 14-ФЗ «О внесении изменений в Федеральный закон «Об основах государственного регулирования торговой деятельности в Российской Федерации», на установление порядка включения нестационарных торгов</w:t>
      </w:r>
      <w:r>
        <w:rPr>
          <w:rFonts w:hint="default" w:ascii="Times New Roman" w:hAnsi="Times New Roman" w:cs="Times New Roman"/>
          <w:color w:val="auto"/>
          <w:sz w:val="26"/>
          <w:szCs w:val="26"/>
          <w:highlight w:val="none"/>
          <w:lang w:val="ru-RU" w:eastAsia="zh-CN"/>
        </w:rPr>
        <w:t xml:space="preserve">ых объектов, размещённых на земельных участках, находящихся в частной собственности, в схему размещения нестационарных торговых объектов, и вносит соответствующие изменения в постановление Правительства Белгородской области от 28 февраля 2011 года № 71-пп </w:t>
      </w:r>
      <w:r>
        <w:rPr>
          <w:rFonts w:hint="default" w:ascii="Times New Roman" w:hAnsi="Times New Roman" w:cs="Times New Roman"/>
          <w:color w:val="auto"/>
          <w:sz w:val="26"/>
          <w:szCs w:val="26"/>
          <w:highlight w:val="none"/>
          <w:lang w:val="en-US" w:eastAsia="zh-CN"/>
        </w:rPr>
        <w:t xml:space="preserve">«Об определении порядка разработки и утверждения органами местного самоуправления муниципальных районов, муниципальных и городских округов схем размещения нестационарных торговых объектов»</w:t>
      </w:r>
      <w:r>
        <w:rPr>
          <w:rFonts w:hint="default" w:ascii="Times New Roman" w:hAnsi="Times New Roman" w:cs="Times New Roman"/>
          <w:color w:val="auto"/>
          <w:sz w:val="26"/>
          <w:szCs w:val="26"/>
          <w:highlight w:val="none"/>
          <w:lang w:val="ru-RU" w:eastAsia="zh-CN"/>
        </w:rPr>
        <w:t xml:space="preserve">.</w:t>
      </w:r>
      <w:r>
        <w:rPr>
          <w:highlight w:val="none"/>
        </w:rPr>
      </w:r>
      <w:r/>
    </w:p>
    <w:p>
      <w:pPr>
        <w:ind w:firstLine="709"/>
        <w:jc w:val="both"/>
        <w:spacing w:before="0" w:after="0" w:line="240" w:lineRule="auto"/>
        <w:widowControl w:val="off"/>
        <w:rPr>
          <w:rFonts w:hint="default" w:ascii="Times New Roman" w:hAnsi="Times New Roman" w:eastAsia="Times New Roman" w:cs="Times New Roman"/>
          <w:color w:val="auto"/>
          <w:sz w:val="26"/>
          <w:szCs w:val="26"/>
          <w:highlight w:val="none"/>
        </w:rPr>
      </w:pPr>
      <w:r>
        <w:rPr>
          <w:rFonts w:hint="default" w:ascii="Times New Roman" w:hAnsi="Times New Roman" w:eastAsia="Times New Roman" w:cs="Times New Roman"/>
          <w:color w:val="auto"/>
          <w:sz w:val="26"/>
          <w:szCs w:val="26"/>
        </w:rPr>
        <w:t xml:space="preserve">1.5. Контактная информация об исполнителе в органе-разработчике:</w:t>
      </w:r>
      <w:r/>
    </w:p>
    <w:p>
      <w:pPr>
        <w:ind w:firstLine="709"/>
        <w:jc w:val="left"/>
        <w:spacing w:before="0" w:after="0" w:line="240" w:lineRule="auto"/>
        <w:rPr>
          <w:rFonts w:hint="default" w:ascii="Times New Roman" w:hAnsi="Times New Roman" w:eastAsia="Times New Roman" w:cs="Times New Roman"/>
          <w:color w:val="auto"/>
          <w:sz w:val="26"/>
          <w:szCs w:val="26"/>
          <w:lang w:val="ru-RU" w:eastAsia="zh-CN"/>
        </w:rPr>
      </w:pPr>
      <w:r>
        <w:rPr>
          <w:rFonts w:hint="default" w:ascii="Times New Roman" w:hAnsi="Times New Roman" w:eastAsia="Times New Roman" w:cs="Times New Roman"/>
          <w:color w:val="auto"/>
          <w:sz w:val="26"/>
          <w:szCs w:val="26"/>
          <w:lang w:val="en-US" w:eastAsia="zh-CN"/>
        </w:rPr>
        <w:t xml:space="preserve">Ф.И.О.: Медведева Татьяна Викторовна</w:t>
      </w:r>
      <w:r>
        <w:rPr>
          <w:rFonts w:hint="default" w:ascii="Times New Roman" w:hAnsi="Times New Roman" w:eastAsia="Times New Roman" w:cs="Times New Roman"/>
          <w:color w:val="auto"/>
          <w:sz w:val="26"/>
          <w:szCs w:val="26"/>
          <w:lang w:val="ru-RU" w:eastAsia="zh-CN"/>
        </w:rPr>
        <w:t xml:space="preserve">;</w:t>
      </w:r>
      <w:r>
        <w:rPr>
          <w:rFonts w:hint="default" w:ascii="Times New Roman" w:hAnsi="Times New Roman" w:eastAsia="Times New Roman" w:cs="Times New Roman"/>
          <w:color w:val="auto"/>
          <w:sz w:val="26"/>
          <w:szCs w:val="26"/>
          <w:lang w:val="en-US" w:eastAsia="zh-CN"/>
        </w:rPr>
        <w:br/>
      </w:r>
      <w:r>
        <w:rPr>
          <w:rFonts w:hint="default" w:ascii="Times New Roman" w:hAnsi="Times New Roman" w:eastAsia="Times New Roman" w:cs="Times New Roman"/>
          <w:color w:val="auto"/>
          <w:sz w:val="26"/>
          <w:szCs w:val="26"/>
          <w:lang w:val="ru-RU" w:eastAsia="zh-CN"/>
        </w:rPr>
        <w:tab/>
      </w:r>
      <w:r>
        <w:rPr>
          <w:rFonts w:hint="default" w:ascii="Times New Roman" w:hAnsi="Times New Roman" w:eastAsia="Times New Roman" w:cs="Times New Roman"/>
          <w:color w:val="auto"/>
          <w:sz w:val="26"/>
          <w:szCs w:val="26"/>
          <w:lang w:val="en-US" w:eastAsia="zh-CN"/>
        </w:rPr>
        <w:t xml:space="preserve">Должность: консультант отдела торговли и услуг департамента потребительского рынка министерства сельского хозяйства и продовольствия области</w:t>
      </w:r>
      <w:r>
        <w:rPr>
          <w:rFonts w:hint="default" w:ascii="Times New Roman" w:hAnsi="Times New Roman" w:eastAsia="Times New Roman" w:cs="Times New Roman"/>
          <w:color w:val="auto"/>
          <w:sz w:val="26"/>
          <w:szCs w:val="26"/>
          <w:lang w:val="ru-RU" w:eastAsia="zh-CN"/>
        </w:rPr>
        <w:t xml:space="preserve">;</w:t>
      </w:r>
      <w:r>
        <w:rPr>
          <w:rFonts w:hint="default" w:ascii="Times New Roman" w:hAnsi="Times New Roman" w:eastAsia="Times New Roman" w:cs="Times New Roman"/>
          <w:color w:val="auto"/>
          <w:sz w:val="26"/>
          <w:szCs w:val="26"/>
          <w:lang w:val="en-US" w:eastAsia="zh-CN"/>
        </w:rPr>
        <w:br/>
      </w:r>
      <w:r>
        <w:rPr>
          <w:rFonts w:hint="default" w:ascii="Times New Roman" w:hAnsi="Times New Roman" w:eastAsia="Times New Roman" w:cs="Times New Roman"/>
          <w:color w:val="auto"/>
          <w:sz w:val="26"/>
          <w:szCs w:val="26"/>
          <w:lang w:val="ru-RU" w:eastAsia="zh-CN"/>
        </w:rPr>
        <w:tab/>
      </w:r>
      <w:r>
        <w:rPr>
          <w:rFonts w:hint="default" w:ascii="Times New Roman" w:hAnsi="Times New Roman" w:eastAsia="Times New Roman" w:cs="Times New Roman"/>
          <w:color w:val="auto"/>
          <w:sz w:val="26"/>
          <w:szCs w:val="26"/>
          <w:lang w:val="en-US" w:eastAsia="zh-CN"/>
        </w:rPr>
        <w:t xml:space="preserve">Тел.: (4722) 24-77-13</w:t>
      </w:r>
      <w:r>
        <w:rPr>
          <w:rFonts w:hint="default" w:ascii="Times New Roman" w:hAnsi="Times New Roman" w:eastAsia="Times New Roman" w:cs="Times New Roman"/>
          <w:color w:val="auto"/>
          <w:sz w:val="26"/>
          <w:szCs w:val="26"/>
          <w:lang w:val="ru-RU" w:eastAsia="zh-CN"/>
        </w:rPr>
        <w:t xml:space="preserve">;</w:t>
      </w:r>
      <w:r>
        <w:rPr>
          <w:rFonts w:hint="default" w:ascii="Times New Roman" w:hAnsi="Times New Roman" w:eastAsia="Times New Roman" w:cs="Times New Roman"/>
          <w:color w:val="auto"/>
          <w:sz w:val="26"/>
          <w:szCs w:val="26"/>
          <w:lang w:val="en-US" w:eastAsia="zh-CN"/>
        </w:rPr>
        <w:br/>
      </w:r>
      <w:r>
        <w:rPr>
          <w:rFonts w:hint="default" w:ascii="Times New Roman" w:hAnsi="Times New Roman" w:eastAsia="Times New Roman" w:cs="Times New Roman"/>
          <w:color w:val="auto"/>
          <w:sz w:val="26"/>
          <w:szCs w:val="26"/>
          <w:lang w:val="ru-RU" w:eastAsia="zh-CN"/>
        </w:rPr>
        <w:tab/>
      </w:r>
      <w:r>
        <w:rPr>
          <w:rFonts w:hint="default" w:ascii="Times New Roman" w:hAnsi="Times New Roman" w:eastAsia="Times New Roman" w:cs="Times New Roman"/>
          <w:color w:val="auto"/>
          <w:sz w:val="26"/>
          <w:szCs w:val="26"/>
          <w:lang w:val="en-US" w:eastAsia="zh-CN"/>
        </w:rPr>
        <w:t xml:space="preserve">Адрес электронной почты: medvedeva_tv@belgov.ru</w:t>
      </w:r>
      <w:r>
        <w:rPr>
          <w:rFonts w:hint="default" w:ascii="Times New Roman" w:hAnsi="Times New Roman" w:eastAsia="Times New Roman" w:cs="Times New Roman"/>
          <w:color w:val="auto"/>
          <w:sz w:val="26"/>
          <w:szCs w:val="26"/>
          <w:lang w:val="ru-RU" w:eastAsia="zh-CN"/>
        </w:rPr>
        <w:t xml:space="preserve">.</w:t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b/>
          <w:bCs/>
          <w:color w:val="auto"/>
          <w:sz w:val="26"/>
          <w:szCs w:val="26"/>
          <w:highlight w:val="none"/>
        </w:rPr>
      </w:pPr>
      <w:r>
        <w:rPr>
          <w:rFonts w:hint="default" w:ascii="Times New Roman" w:hAnsi="Times New Roman" w:eastAsia="Times New Roman" w:cs="Times New Roman"/>
          <w:color w:val="auto"/>
          <w:sz w:val="26"/>
          <w:szCs w:val="26"/>
          <w:lang w:val="ru-RU" w:eastAsia="zh-CN"/>
        </w:rPr>
        <w:br/>
      </w:r>
      <w:r>
        <w:rPr>
          <w:rFonts w:hint="default" w:ascii="Times New Roman" w:hAnsi="Times New Roman" w:eastAsia="Times New Roman" w:cs="Times New Roman"/>
          <w:color w:val="auto"/>
          <w:sz w:val="26"/>
          <w:szCs w:val="26"/>
          <w:lang w:val="ru-RU" w:eastAsia="zh-CN"/>
        </w:rPr>
        <w:tab/>
      </w:r>
      <w:r>
        <w:rPr>
          <w:rFonts w:hint="default" w:ascii="Times New Roman" w:hAnsi="Times New Roman" w:eastAsia="Calibri" w:cs="Times New Roman"/>
          <w:b/>
          <w:bCs/>
          <w:color w:val="auto"/>
          <w:sz w:val="26"/>
          <w:szCs w:val="26"/>
        </w:rPr>
        <w:t xml:space="preserve">2. Описание проблемы, на решение которой направлено вводимое правовое регулирование:</w:t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color w:val="auto"/>
          <w:sz w:val="26"/>
          <w:szCs w:val="26"/>
          <w:highlight w:val="none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</w:rPr>
        <w:t xml:space="preserve">2.1. Проблема, на решение которой направлен предлагаемый способ правового регулирования: </w:t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color w:val="auto"/>
          <w:sz w:val="26"/>
          <w:szCs w:val="26"/>
          <w:lang w:val="ru-RU" w:eastAsia="zh-CN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  <w:lang w:val="ru-RU" w:eastAsia="zh-CN"/>
        </w:rPr>
        <w:t xml:space="preserve">В Белгородской области, как и в других регионах, сложилась ситуация, когда размещение и использование нестационарных торговых объектов (далее - НТО) на земельных участках</w:t>
      </w:r>
      <w:r>
        <w:rPr>
          <w:rFonts w:hint="default" w:ascii="Times New Roman" w:hAnsi="Times New Roman" w:eastAsia="Calibri" w:cs="Times New Roman"/>
          <w:color w:val="auto"/>
          <w:sz w:val="26"/>
          <w:szCs w:val="26"/>
          <w:lang w:val="ru-RU" w:eastAsia="zh-CN"/>
        </w:rPr>
        <w:t xml:space="preserve">, находящихся в частной собственности, осуществляется без единых правил и требований. Ранее действовавшая редакция постановления № 71-пп не регулировала этот вопрос, оставляя его на усмотрение собственников. Это привело к следующим негативным последствиям:</w:t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color w:val="auto"/>
          <w:sz w:val="26"/>
          <w:szCs w:val="26"/>
          <w:lang w:val="ru-RU" w:eastAsia="zh-CN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  <w:lang w:val="ru-RU" w:eastAsia="zh-CN"/>
        </w:rPr>
        <w:t xml:space="preserve">- отсутствие единого подхода к размещению НТО на частных земельных участках;</w:t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color w:val="auto"/>
          <w:sz w:val="26"/>
          <w:szCs w:val="26"/>
          <w:lang w:val="ru-RU" w:eastAsia="zh-CN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  <w:lang w:val="ru-RU" w:eastAsia="zh-CN"/>
        </w:rPr>
        <w:t xml:space="preserve">- рост количества жалоб жителей на объекты нестационарной торговли, в том числе на их несоответствие правилам благоустройства, санитарным и противопожарным нормам;</w:t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color w:val="auto"/>
          <w:sz w:val="26"/>
          <w:szCs w:val="26"/>
          <w:lang w:val="ru-RU" w:eastAsia="zh-CN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  <w:lang w:val="ru-RU" w:eastAsia="zh-CN"/>
        </w:rPr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color w:val="auto"/>
          <w:sz w:val="26"/>
          <w:szCs w:val="26"/>
          <w:lang w:val="ru-RU" w:eastAsia="zh-CN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  <w:lang w:val="ru-RU" w:eastAsia="zh-CN"/>
        </w:rPr>
        <w:t xml:space="preserve">- социальная напряженность, связанная с размещением НТО в непосредственной близости от стационарных торговых объектов аналогичной специализации;</w:t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color w:val="auto"/>
          <w:sz w:val="26"/>
          <w:szCs w:val="26"/>
          <w:lang w:val="ru-RU" w:eastAsia="zh-CN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  <w:lang w:val="ru-RU" w:eastAsia="zh-CN"/>
        </w:rPr>
        <w:t xml:space="preserve">- нарушение единого архитектурно-художественного облика территорий муниципальных образований из-за отсутствия требований к внешнему виду НТО на частной земле;</w:t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color w:val="auto"/>
          <w:sz w:val="26"/>
          <w:szCs w:val="26"/>
          <w:lang w:val="ru-RU" w:eastAsia="zh-CN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  <w:lang w:val="ru-RU" w:eastAsia="zh-CN"/>
        </w:rPr>
        <w:t xml:space="preserve">- неравные условия для предпринимателей, размещающих НТО на муниципальной земле (где требования и процедуры установлены) и на частной земле (где регулирование отсутствовало).</w:t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color w:val="auto"/>
          <w:sz w:val="26"/>
          <w:szCs w:val="26"/>
          <w:lang w:val="ru-RU" w:eastAsia="zh-CN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  <w:lang w:val="ru-RU" w:eastAsia="zh-CN"/>
        </w:rPr>
        <w:t xml:space="preserve">2.2. Информация о возникновении и выявлении проблемы:</w:t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color w:val="auto"/>
          <w:sz w:val="26"/>
          <w:szCs w:val="26"/>
          <w:highlight w:val="none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  <w:highlight w:val="none"/>
          <w:lang w:val="ru-RU" w:eastAsia="zh-CN"/>
        </w:rPr>
        <w:t xml:space="preserve">- принятие нового федерального закона. </w:t>
      </w:r>
      <w:r>
        <w:rPr>
          <w:highlight w:val="none"/>
        </w:rPr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color w:val="auto"/>
          <w:sz w:val="26"/>
          <w:szCs w:val="26"/>
          <w:highlight w:val="none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  <w:highlight w:val="none"/>
          <w:lang w:val="ru-RU" w:eastAsia="zh-CN"/>
        </w:rPr>
        <w:t xml:space="preserve">Проблема возник</w:t>
      </w:r>
      <w:r>
        <w:rPr>
          <w:rFonts w:hint="default" w:ascii="Times New Roman" w:hAnsi="Times New Roman" w:eastAsia="Calibri" w:cs="Times New Roman"/>
          <w:color w:val="auto"/>
          <w:sz w:val="26"/>
          <w:szCs w:val="26"/>
          <w:highlight w:val="none"/>
          <w:lang w:val="ru-RU" w:eastAsia="zh-CN"/>
        </w:rPr>
        <w:t xml:space="preserve">ла в связи с принятием Федерального закона от 30 января 2026 г. № 14-ФЗ «О внесении изменений в Федеральный закон «Об основах государственного регулирования торговой деятельности в Российской Федерации». Данный закон вступает в силу с 1 сентября 2026 года.</w:t>
      </w:r>
      <w:r>
        <w:rPr>
          <w:highlight w:val="none"/>
        </w:rPr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color w:val="auto"/>
          <w:sz w:val="26"/>
          <w:szCs w:val="26"/>
          <w:highlight w:val="none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  <w:highlight w:val="none"/>
          <w:lang w:val="ru-RU" w:eastAsia="zh-CN"/>
        </w:rPr>
        <w:t xml:space="preserve">- появление новых полномочий у субъектов РФ. </w:t>
      </w:r>
      <w:r>
        <w:rPr>
          <w:highlight w:val="none"/>
        </w:rPr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color w:val="auto"/>
          <w:sz w:val="26"/>
          <w:szCs w:val="26"/>
          <w:highlight w:val="none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  <w:highlight w:val="none"/>
          <w:lang w:val="ru-RU" w:eastAsia="zh-CN"/>
        </w:rPr>
        <w:t xml:space="preserve">В соответствии с поправками, субъе</w:t>
      </w:r>
      <w:r>
        <w:rPr>
          <w:rFonts w:hint="default" w:ascii="Times New Roman" w:hAnsi="Times New Roman" w:eastAsia="Calibri" w:cs="Times New Roman"/>
          <w:color w:val="auto"/>
          <w:sz w:val="26"/>
          <w:szCs w:val="26"/>
          <w:highlight w:val="none"/>
          <w:lang w:val="ru-RU" w:eastAsia="zh-CN"/>
        </w:rPr>
        <w:t xml:space="preserve">ктам Российской Федерации предоставлено право устанавливать нормативным правовым актом требование о включении НТО, размещенных на земельных участках, находящихся в частной собственности, в схему размещения НТО, утверждаемую органом местного самоуправления.</w:t>
      </w:r>
      <w:r>
        <w:rPr>
          <w:highlight w:val="none"/>
        </w:rPr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color w:val="auto"/>
          <w:sz w:val="26"/>
          <w:szCs w:val="26"/>
          <w:highlight w:val="none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  <w:highlight w:val="none"/>
          <w:lang w:val="ru-RU" w:eastAsia="zh-CN"/>
        </w:rPr>
        <w:t xml:space="preserve">- выявление пробела в региональном регулировании. </w:t>
      </w:r>
      <w:r>
        <w:rPr>
          <w:highlight w:val="none"/>
        </w:rPr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color w:val="auto"/>
          <w:sz w:val="26"/>
          <w:szCs w:val="26"/>
          <w:highlight w:val="none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  <w:highlight w:val="none"/>
          <w:lang w:val="ru-RU" w:eastAsia="zh-CN"/>
        </w:rPr>
        <w:t xml:space="preserve">В Белгородской области до принятия указанного федерального закона действовал Порядок, утвержденный постановлением Правительства Белгородской области от 28 февраля 2011 года № 71-пп, который не регулировал вопросы</w:t>
      </w:r>
      <w:r>
        <w:rPr>
          <w:rFonts w:hint="default" w:ascii="Times New Roman" w:hAnsi="Times New Roman" w:eastAsia="Calibri" w:cs="Times New Roman"/>
          <w:color w:val="auto"/>
          <w:sz w:val="26"/>
          <w:szCs w:val="26"/>
          <w:highlight w:val="none"/>
          <w:lang w:val="ru-RU" w:eastAsia="zh-CN"/>
        </w:rPr>
        <w:t xml:space="preserve"> размещения и использования НТО на частных земельных участках, оставляя их на усмотрение собственников. Это привело к отсутствию единого подхода, а также к несоответствию таких объектов требованиям к внешнему облику, правилам благоустройства и иным нормам.</w:t>
      </w:r>
      <w:r>
        <w:rPr>
          <w:highlight w:val="none"/>
        </w:rPr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color w:val="auto"/>
          <w:sz w:val="26"/>
          <w:szCs w:val="26"/>
          <w:highlight w:val="none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  <w:highlight w:val="none"/>
          <w:lang w:val="ru-RU" w:eastAsia="zh-CN"/>
        </w:rPr>
        <w:t xml:space="preserve">-актуальность проблемы на текущий момент. </w:t>
      </w:r>
      <w:r>
        <w:rPr>
          <w:highlight w:val="none"/>
        </w:rPr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color w:val="auto"/>
          <w:sz w:val="26"/>
          <w:szCs w:val="26"/>
          <w:highlight w:val="none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  <w:highlight w:val="none"/>
          <w:lang w:val="ru-RU" w:eastAsia="zh-CN"/>
        </w:rPr>
        <w:t xml:space="preserve">Необходимость урегулирования данного вопроса на региональном уровне обусловлена вступлением в силу федерального закона № </w:t>
      </w:r>
      <w:r>
        <w:rPr>
          <w:rFonts w:hint="default" w:ascii="Times New Roman" w:hAnsi="Times New Roman" w:eastAsia="Calibri" w:cs="Times New Roman"/>
          <w:color w:val="auto"/>
          <w:sz w:val="26"/>
          <w:szCs w:val="26"/>
          <w:highlight w:val="none"/>
          <w:lang w:val="ru-RU" w:eastAsia="zh-CN"/>
        </w:rPr>
        <w:t xml:space="preserve">14-ФЗ с 1 сентября 2026 года. Отсутствие необходимого регионального нормативного правового акта приведет к невозможности реализации новых федеральных норм и сохранению негативных эффектов, связанных с неконтролируемым размещением НТО на частной территории.</w:t>
      </w:r>
      <w:r>
        <w:rPr>
          <w:highlight w:val="none"/>
        </w:rPr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color w:val="auto"/>
          <w:sz w:val="26"/>
          <w:szCs w:val="26"/>
          <w:highlight w:val="none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  <w:highlight w:val="none"/>
          <w:lang w:val="ru-RU" w:eastAsia="zh-CN"/>
        </w:rPr>
        <w:t xml:space="preserve">Таким образом, проблема для регионального р</w:t>
      </w:r>
      <w:r>
        <w:rPr>
          <w:rFonts w:hint="default" w:ascii="Times New Roman" w:hAnsi="Times New Roman" w:eastAsia="Calibri" w:cs="Times New Roman"/>
          <w:color w:val="auto"/>
          <w:sz w:val="26"/>
          <w:szCs w:val="26"/>
          <w:highlight w:val="none"/>
          <w:lang w:val="ru-RU" w:eastAsia="zh-CN"/>
        </w:rPr>
        <w:t xml:space="preserve">егулирования возникла объективно, вследствие внесения изменений в федеральное законодательство, а выявлена она была в ходе анализа правоприменительной практики и необходимости приведения региональных актов в соответствие с новыми федеральными требованиями.</w:t>
      </w:r>
      <w:r>
        <w:rPr>
          <w:highlight w:val="none"/>
        </w:rPr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color w:val="auto"/>
          <w:sz w:val="26"/>
          <w:szCs w:val="26"/>
          <w:highlight w:val="none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</w:rPr>
        <w:t xml:space="preserve">2.3. Негативные эффекты, возникающие в связи с наличием рассматриваемой проблемы: </w:t>
      </w:r>
      <w:r/>
    </w:p>
    <w:p>
      <w:pPr>
        <w:ind w:firstLine="708"/>
        <w:jc w:val="both"/>
        <w:spacing w:before="0" w:after="0" w:line="240" w:lineRule="auto"/>
        <w:rPr>
          <w:rFonts w:hint="default" w:ascii="Times New Roman" w:hAnsi="Times New Roman" w:eastAsia="Calibri" w:cs="Times New Roman"/>
          <w:color w:val="auto"/>
          <w:sz w:val="26"/>
          <w:szCs w:val="26"/>
          <w:lang w:val="ru-RU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  <w:lang w:val="ru-RU"/>
        </w:rPr>
        <w:t xml:space="preserve">- </w:t>
      </w:r>
      <w:r>
        <w:rPr>
          <w:rFonts w:hint="default" w:ascii="Times New Roman" w:hAnsi="Times New Roman" w:eastAsia="Calibri" w:cs="Times New Roman"/>
          <w:color w:val="auto"/>
          <w:sz w:val="26"/>
          <w:szCs w:val="26"/>
        </w:rPr>
        <w:t xml:space="preserve">Ухудшение внешнего облика городов и поселений: </w:t>
      </w:r>
      <w:r>
        <w:rPr>
          <w:rFonts w:hint="default" w:ascii="Times New Roman" w:hAnsi="Times New Roman" w:eastAsia="Calibri" w:cs="Times New Roman"/>
          <w:color w:val="auto"/>
          <w:sz w:val="26"/>
          <w:szCs w:val="26"/>
          <w:lang w:val="ru-RU"/>
        </w:rPr>
        <w:t xml:space="preserve">о</w:t>
      </w:r>
      <w:r>
        <w:rPr>
          <w:rFonts w:hint="default" w:ascii="Times New Roman" w:hAnsi="Times New Roman" w:eastAsia="Calibri" w:cs="Times New Roman"/>
          <w:color w:val="auto"/>
          <w:sz w:val="26"/>
          <w:szCs w:val="26"/>
        </w:rPr>
        <w:t xml:space="preserve">тсутствие требований к архитектурному облику приводит к хаотичному размещению и неэстетичному виду торговых объектов, что негативно сказывается на инвестиционной привлекательности и комфорте городской среды</w:t>
      </w:r>
      <w:r>
        <w:rPr>
          <w:rFonts w:hint="default" w:ascii="Times New Roman" w:hAnsi="Times New Roman" w:eastAsia="Calibri" w:cs="Times New Roman"/>
          <w:color w:val="auto"/>
          <w:sz w:val="26"/>
          <w:szCs w:val="26"/>
          <w:lang w:val="ru-RU"/>
        </w:rPr>
        <w:t xml:space="preserve">;</w:t>
      </w:r>
      <w:r/>
    </w:p>
    <w:p>
      <w:pPr>
        <w:ind w:firstLine="708"/>
        <w:jc w:val="both"/>
        <w:spacing w:before="0" w:after="0" w:line="240" w:lineRule="auto"/>
        <w:rPr>
          <w:rFonts w:hint="default" w:ascii="Times New Roman" w:hAnsi="Times New Roman" w:eastAsia="Calibri" w:cs="Times New Roman"/>
          <w:color w:val="auto"/>
          <w:sz w:val="26"/>
          <w:szCs w:val="26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  <w:lang w:val="ru-RU"/>
        </w:rPr>
        <w:t xml:space="preserve">- р</w:t>
      </w:r>
      <w:r>
        <w:rPr>
          <w:rFonts w:hint="default" w:ascii="Times New Roman" w:hAnsi="Times New Roman" w:eastAsia="Calibri" w:cs="Times New Roman"/>
          <w:color w:val="auto"/>
          <w:sz w:val="26"/>
          <w:szCs w:val="26"/>
        </w:rPr>
        <w:t xml:space="preserve">иски для жизни и здоровья граждан: </w:t>
      </w:r>
      <w:r>
        <w:rPr>
          <w:rFonts w:hint="default" w:ascii="Times New Roman" w:hAnsi="Times New Roman" w:eastAsia="Calibri" w:cs="Times New Roman"/>
          <w:color w:val="auto"/>
          <w:sz w:val="26"/>
          <w:szCs w:val="26"/>
          <w:lang w:val="ru-RU"/>
        </w:rPr>
        <w:t xml:space="preserve">н</w:t>
      </w:r>
      <w:r>
        <w:rPr>
          <w:rFonts w:hint="default" w:ascii="Times New Roman" w:hAnsi="Times New Roman" w:eastAsia="Calibri" w:cs="Times New Roman"/>
          <w:color w:val="auto"/>
          <w:sz w:val="26"/>
          <w:szCs w:val="26"/>
        </w:rPr>
        <w:t xml:space="preserve">еконтролируемое размещение НТО может нарушать санитарно-эпидемиологические нормы, правила пожарной безопасности, создавать помехи для движения пешеходов и транспорта.</w:t>
      </w:r>
      <w:r/>
    </w:p>
    <w:p>
      <w:pPr>
        <w:ind w:firstLine="708"/>
        <w:jc w:val="both"/>
        <w:spacing w:before="0" w:after="0" w:line="240" w:lineRule="auto"/>
        <w:rPr>
          <w:rFonts w:hint="default" w:ascii="Times New Roman" w:hAnsi="Times New Roman" w:eastAsia="Calibri" w:cs="Times New Roman"/>
          <w:color w:val="auto"/>
          <w:sz w:val="26"/>
          <w:szCs w:val="26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  <w:lang w:val="ru-RU"/>
        </w:rPr>
        <w:t xml:space="preserve">- н</w:t>
      </w:r>
      <w:r>
        <w:rPr>
          <w:rFonts w:hint="default" w:ascii="Times New Roman" w:hAnsi="Times New Roman" w:eastAsia="Calibri" w:cs="Times New Roman"/>
          <w:color w:val="auto"/>
          <w:sz w:val="26"/>
          <w:szCs w:val="26"/>
        </w:rPr>
        <w:t xml:space="preserve">еравная конкуренция: </w:t>
      </w:r>
      <w:r>
        <w:rPr>
          <w:rFonts w:hint="default" w:ascii="Times New Roman" w:hAnsi="Times New Roman" w:eastAsia="Calibri" w:cs="Times New Roman"/>
          <w:color w:val="auto"/>
          <w:sz w:val="26"/>
          <w:szCs w:val="26"/>
          <w:lang w:val="ru-RU"/>
        </w:rPr>
        <w:t xml:space="preserve">п</w:t>
      </w:r>
      <w:r>
        <w:rPr>
          <w:rFonts w:hint="default" w:ascii="Times New Roman" w:hAnsi="Times New Roman" w:eastAsia="Calibri" w:cs="Times New Roman"/>
          <w:color w:val="auto"/>
          <w:sz w:val="26"/>
          <w:szCs w:val="26"/>
        </w:rPr>
        <w:t xml:space="preserve">редприниматели на частной земле находятся в более выгодном положении, так как не обязаны проходить процедуру включения в схему и соблюдать муниципальные требования, в отличие от предпринимателей, работающих на муниципальной земле.</w:t>
      </w:r>
      <w:r/>
    </w:p>
    <w:p>
      <w:pPr>
        <w:ind w:firstLine="708"/>
        <w:jc w:val="both"/>
        <w:spacing w:before="0" w:after="0" w:line="240" w:lineRule="auto"/>
        <w:rPr>
          <w:rFonts w:hint="default" w:ascii="Times New Roman" w:hAnsi="Times New Roman" w:eastAsia="Calibri" w:cs="Times New Roman"/>
          <w:color w:val="auto"/>
          <w:sz w:val="26"/>
          <w:szCs w:val="26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  <w:lang w:val="ru-RU"/>
        </w:rPr>
        <w:t xml:space="preserve">- р</w:t>
      </w:r>
      <w:r>
        <w:rPr>
          <w:rFonts w:hint="default" w:ascii="Times New Roman" w:hAnsi="Times New Roman" w:eastAsia="Calibri" w:cs="Times New Roman"/>
          <w:color w:val="auto"/>
          <w:sz w:val="26"/>
          <w:szCs w:val="26"/>
        </w:rPr>
        <w:t xml:space="preserve">ост социальной напряженности: </w:t>
      </w:r>
      <w:r>
        <w:rPr>
          <w:rFonts w:hint="default" w:ascii="Times New Roman" w:hAnsi="Times New Roman" w:eastAsia="Calibri" w:cs="Times New Roman"/>
          <w:color w:val="auto"/>
          <w:sz w:val="26"/>
          <w:szCs w:val="26"/>
          <w:lang w:val="ru-RU"/>
        </w:rPr>
        <w:t xml:space="preserve">ж</w:t>
      </w:r>
      <w:r>
        <w:rPr>
          <w:rFonts w:hint="default" w:ascii="Times New Roman" w:hAnsi="Times New Roman" w:eastAsia="Calibri" w:cs="Times New Roman"/>
          <w:color w:val="auto"/>
          <w:sz w:val="26"/>
          <w:szCs w:val="26"/>
        </w:rPr>
        <w:t xml:space="preserve">алобы граждан на неудобства, связанные с работой НТО, и на недобросовестную конкуренцию со стороны предпринимателей на частной земле, требуют от органов власти принятия мер.</w:t>
      </w:r>
      <w:r/>
    </w:p>
    <w:p>
      <w:pPr>
        <w:ind w:firstLine="708"/>
        <w:jc w:val="both"/>
        <w:spacing w:before="0" w:after="0" w:line="240" w:lineRule="auto"/>
        <w:rPr>
          <w:rFonts w:hint="default" w:ascii="Times New Roman" w:hAnsi="Times New Roman" w:eastAsia="Calibri" w:cs="Times New Roman"/>
          <w:color w:val="auto"/>
          <w:sz w:val="26"/>
          <w:szCs w:val="26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</w:rPr>
        <w:t xml:space="preserve">2.4. Анализ опыта иных субъектов Российской Федерации в соответствующих сферах деятельности: </w:t>
      </w:r>
      <w:r/>
    </w:p>
    <w:tbl>
      <w:tblPr>
        <w:tblStyle w:val="67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840"/>
        <w:gridCol w:w="3330"/>
        <w:gridCol w:w="4684"/>
      </w:tblGrid>
      <w:tr>
        <w:trPr/>
        <w:tc>
          <w:tcPr>
            <w:tcW w:w="1840" w:type="dxa"/>
            <w:vAlign w:val="center"/>
            <w:textDirection w:val="lrTb"/>
            <w:noWrap w:val="false"/>
          </w:tcPr>
          <w:p>
            <w:pPr>
              <w:ind w:right="57"/>
              <w:jc w:val="center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  <w:lang w:val="en-US" w:eastAsia="ru-RU"/>
              </w:rPr>
              <w:t xml:space="preserve">Субъект РФ</w:t>
            </w:r>
            <w:r/>
          </w:p>
        </w:tc>
        <w:tc>
          <w:tcPr>
            <w:tcW w:w="3330" w:type="dxa"/>
            <w:vAlign w:val="center"/>
            <w:textDirection w:val="lrTb"/>
            <w:noWrap w:val="false"/>
          </w:tcPr>
          <w:p>
            <w:pPr>
              <w:ind w:right="57"/>
              <w:jc w:val="center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  <w:lang w:val="en-US" w:eastAsia="ru-RU"/>
              </w:rPr>
              <w:t xml:space="preserve">Нормативный правовой акт (статус)</w:t>
            </w:r>
            <w:r/>
          </w:p>
        </w:tc>
        <w:tc>
          <w:tcPr>
            <w:tcW w:w="4684" w:type="dxa"/>
            <w:vAlign w:val="center"/>
            <w:textDirection w:val="lrTb"/>
            <w:noWrap w:val="false"/>
          </w:tcPr>
          <w:p>
            <w:pPr>
              <w:ind w:right="57"/>
              <w:jc w:val="center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  <w:lang w:val="en-US" w:eastAsia="ru-RU"/>
              </w:rPr>
              <w:t xml:space="preserve">Ключевые особенности подхода</w:t>
            </w:r>
            <w:r/>
          </w:p>
        </w:tc>
      </w:tr>
      <w:tr>
        <w:trPr/>
        <w:tc>
          <w:tcPr>
            <w:tcW w:w="1840" w:type="dxa"/>
            <w:vAlign w:val="top"/>
            <w:textDirection w:val="lrTb"/>
            <w:noWrap w:val="false"/>
          </w:tcPr>
          <w:p>
            <w:pPr>
              <w:jc w:val="left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en-US" w:eastAsia="ru-RU"/>
              </w:rPr>
            </w:pPr>
            <w:r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en-US" w:eastAsia="ru-RU"/>
              </w:rPr>
              <w:t xml:space="preserve">Омская область</w:t>
            </w:r>
            <w:r/>
          </w:p>
        </w:tc>
        <w:tc>
          <w:tcPr>
            <w:tcW w:w="3330" w:type="dxa"/>
            <w:vAlign w:val="top"/>
            <w:textDirection w:val="lrTb"/>
            <w:noWrap w:val="false"/>
          </w:tcPr>
          <w:p>
            <w:pPr>
              <w:jc w:val="both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en-US" w:eastAsia="ru-RU"/>
              </w:rPr>
            </w:pPr>
            <w:r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en-US" w:eastAsia="ru-RU"/>
              </w:rPr>
              <w:t xml:space="preserve">Закон Омской области от 04.05.2026 г. № 2942-ОЗ; Постановление Правительства Омской области от 28.05.2026 г. № 222-п</w:t>
            </w:r>
            <w:r/>
          </w:p>
        </w:tc>
        <w:tc>
          <w:tcPr>
            <w:tcW w:w="4684" w:type="dxa"/>
            <w:vAlign w:val="top"/>
            <w:textDirection w:val="lrTb"/>
            <w:noWrap w:val="false"/>
          </w:tcPr>
          <w:p>
            <w:pPr>
              <w:jc w:val="both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en-US" w:eastAsia="ru-RU"/>
              </w:rPr>
            </w:pPr>
            <w:r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en-US" w:eastAsia="ru-RU"/>
              </w:rPr>
              <w:t xml:space="preserve">Принят базовый региональный закон и подзаконный акт, утверждающий требования к размещению и использованию НТО на частной земле. Демонстрирует комплексный подход к реализации нового федерального закона.</w:t>
            </w:r>
            <w:r/>
          </w:p>
        </w:tc>
      </w:tr>
      <w:tr>
        <w:trPr/>
        <w:tc>
          <w:tcPr>
            <w:tcW w:w="1840" w:type="dxa"/>
            <w:vAlign w:val="top"/>
            <w:textDirection w:val="lrTb"/>
            <w:noWrap w:val="false"/>
          </w:tcPr>
          <w:p>
            <w:pPr>
              <w:jc w:val="left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en-US" w:eastAsia="ru-RU"/>
              </w:rPr>
            </w:pPr>
            <w:r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en-US" w:eastAsia="ru-RU"/>
              </w:rPr>
              <w:t xml:space="preserve">Ростовская область</w:t>
            </w:r>
            <w:r/>
          </w:p>
        </w:tc>
        <w:tc>
          <w:tcPr>
            <w:tcW w:w="3330" w:type="dxa"/>
            <w:vAlign w:val="top"/>
            <w:textDirection w:val="lrTb"/>
            <w:noWrap w:val="false"/>
          </w:tcPr>
          <w:p>
            <w:pPr>
              <w:jc w:val="both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en-US" w:eastAsia="ru-RU"/>
              </w:rPr>
            </w:pPr>
            <w:r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en-US" w:eastAsia="ru-RU"/>
              </w:rPr>
              <w:t xml:space="preserve">Постановление Правительства Ростовской области от 16.01.2026 г. № 23</w:t>
            </w:r>
            <w:r/>
          </w:p>
        </w:tc>
        <w:tc>
          <w:tcPr>
            <w:tcW w:w="4684" w:type="dxa"/>
            <w:vAlign w:val="top"/>
            <w:textDirection w:val="lrTb"/>
            <w:noWrap w:val="false"/>
          </w:tcPr>
          <w:p>
            <w:pPr>
              <w:jc w:val="both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en-US" w:eastAsia="ru-RU"/>
              </w:rPr>
            </w:pPr>
            <w:r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en-US" w:eastAsia="ru-RU"/>
              </w:rPr>
              <w:t xml:space="preserve">Документ унифицирует т</w:t>
            </w:r>
            <w:r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en-US" w:eastAsia="ru-RU"/>
              </w:rPr>
              <w:t xml:space="preserve">ребования к разработке схем размещения НТО, расчету платы и проведению торгов. Примечательно, что акт был принят до вступления в силу ФЗ-14, но его положения уже приведены в соответствие с новыми нормами, что свидетельствует об упреждающей позиции региона.</w:t>
            </w:r>
            <w:r/>
          </w:p>
        </w:tc>
      </w:tr>
      <w:tr>
        <w:trPr/>
        <w:tc>
          <w:tcPr>
            <w:tcW w:w="1840" w:type="dxa"/>
            <w:vAlign w:val="top"/>
            <w:textDirection w:val="lrTb"/>
            <w:noWrap w:val="false"/>
          </w:tcPr>
          <w:p>
            <w:pPr>
              <w:jc w:val="left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en-US" w:eastAsia="ru-RU"/>
              </w:rPr>
            </w:pPr>
            <w:r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en-US" w:eastAsia="ru-RU"/>
              </w:rPr>
              <w:t xml:space="preserve">Иные регионы (проекты)</w:t>
            </w:r>
            <w:r/>
          </w:p>
        </w:tc>
        <w:tc>
          <w:tcPr>
            <w:tcW w:w="3330" w:type="dxa"/>
            <w:vAlign w:val="top"/>
            <w:textDirection w:val="lrTb"/>
            <w:noWrap w:val="false"/>
          </w:tcPr>
          <w:p>
            <w:pPr>
              <w:jc w:val="both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en-US" w:eastAsia="ru-RU"/>
              </w:rPr>
            </w:pPr>
            <w:r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en-US" w:eastAsia="ru-RU"/>
              </w:rPr>
              <w:t xml:space="preserve">Волгоградская, Воронежская, Иркутская, Кемеровская, Ленинградская, Новосибирская, Самарская, Тюменская области, Хабаровский край, Республика Татарстан</w:t>
            </w:r>
            <w:r/>
          </w:p>
        </w:tc>
        <w:tc>
          <w:tcPr>
            <w:tcW w:w="4684" w:type="dxa"/>
            <w:vAlign w:val="top"/>
            <w:textDirection w:val="lrTb"/>
            <w:noWrap w:val="false"/>
          </w:tcPr>
          <w:p>
            <w:pPr>
              <w:jc w:val="both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en-US" w:eastAsia="ru-RU"/>
              </w:rPr>
            </w:pPr>
            <w:r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en-US" w:eastAsia="ru-RU"/>
              </w:rPr>
              <w:t xml:space="preserve">Активно разрабатывают проекты НПА, регламентирующих порядок и условия работы НТО на частных территориях, что подтверждает общероссийскую тенденцию к системному регулированию.</w:t>
            </w:r>
            <w:r/>
          </w:p>
        </w:tc>
      </w:tr>
    </w:tbl>
    <w:p>
      <w:pPr>
        <w:ind w:firstLine="709"/>
        <w:jc w:val="both"/>
        <w:spacing w:before="0" w:after="0" w:line="240" w:lineRule="auto"/>
        <w:widowControl w:val="off"/>
        <w:rPr>
          <w:rFonts w:hint="default" w:ascii="Times New Roman" w:hAnsi="Times New Roman" w:eastAsia="Times New Roman" w:cs="Times New Roman"/>
          <w:color w:val="auto"/>
          <w:sz w:val="26"/>
          <w:szCs w:val="26"/>
          <w:lang w:eastAsia="ru-RU"/>
        </w:rPr>
      </w:pPr>
      <w:r>
        <w:rPr>
          <w:rFonts w:hint="default" w:ascii="Times New Roman" w:hAnsi="Times New Roman" w:eastAsia="Times New Roman" w:cs="Times New Roman"/>
          <w:color w:val="auto"/>
          <w:sz w:val="26"/>
          <w:szCs w:val="26"/>
          <w:lang w:eastAsia="ru-RU"/>
        </w:rPr>
      </w:r>
      <w:r/>
    </w:p>
    <w:p>
      <w:pPr>
        <w:ind w:firstLine="709"/>
        <w:jc w:val="both"/>
        <w:spacing w:before="0" w:after="0" w:line="240" w:lineRule="auto"/>
        <w:widowControl w:val="off"/>
        <w:rPr>
          <w:rFonts w:hint="default" w:ascii="Times New Roman" w:hAnsi="Times New Roman" w:eastAsia="Times New Roman" w:cs="Times New Roman"/>
          <w:color w:val="auto"/>
          <w:sz w:val="26"/>
          <w:szCs w:val="26"/>
          <w:highlight w:val="none"/>
        </w:rPr>
      </w:pPr>
      <w:r>
        <w:rPr>
          <w:rFonts w:hint="default" w:ascii="Times New Roman" w:hAnsi="Times New Roman" w:eastAsia="Times New Roman" w:cs="Times New Roman"/>
          <w:b/>
          <w:bCs/>
          <w:color w:val="auto"/>
          <w:sz w:val="26"/>
          <w:szCs w:val="26"/>
          <w:lang w:val="en-US" w:eastAsia="ru-RU"/>
        </w:rPr>
        <w:t xml:space="preserve">3. </w:t>
      </w:r>
      <w:r>
        <w:rPr>
          <w:rFonts w:hint="default" w:ascii="Times New Roman" w:hAnsi="Times New Roman" w:eastAsia="Times New Roman" w:cs="Times New Roman"/>
          <w:b/>
          <w:bCs/>
          <w:color w:val="auto"/>
          <w:sz w:val="26"/>
          <w:szCs w:val="26"/>
          <w:lang w:eastAsia="ru-RU"/>
        </w:rPr>
        <w:t xml:space="preserve">Цели вводимого правового регулирования и измеримые показатели их достижения:</w:t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color w:val="auto"/>
          <w:sz w:val="26"/>
          <w:szCs w:val="26"/>
          <w:highlight w:val="none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</w:rPr>
        <w:t xml:space="preserve">3.1. Описание целей предлагаемого правового регулирования:</w:t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cs="Times New Roman"/>
          <w:color w:val="auto"/>
          <w:sz w:val="26"/>
          <w:szCs w:val="26"/>
        </w:rPr>
      </w:pPr>
      <w:r>
        <w:rPr>
          <w:rFonts w:hint="default" w:ascii="Times New Roman" w:hAnsi="Times New Roman" w:cs="Times New Roman"/>
          <w:color w:val="auto"/>
          <w:sz w:val="26"/>
          <w:szCs w:val="26"/>
        </w:rPr>
        <w:t xml:space="preserve">Основной целью предлагаемого правового регулирования</w:t>
      </w:r>
      <w:r>
        <w:rPr>
          <w:rFonts w:hint="default" w:ascii="Times New Roman" w:hAnsi="Times New Roman" w:cs="Times New Roman"/>
          <w:color w:val="auto"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6"/>
          <w:szCs w:val="26"/>
        </w:rPr>
        <w:t xml:space="preserve">является обеспечение единообразного и упорядоченного размещения </w:t>
      </w:r>
      <w:r>
        <w:rPr>
          <w:rFonts w:hint="default" w:ascii="Times New Roman" w:hAnsi="Times New Roman" w:cs="Times New Roman"/>
          <w:color w:val="auto"/>
          <w:sz w:val="26"/>
          <w:szCs w:val="26"/>
          <w:lang w:val="ru-RU"/>
        </w:rPr>
        <w:t xml:space="preserve">НТО</w:t>
      </w:r>
      <w:r>
        <w:rPr>
          <w:rFonts w:hint="default" w:ascii="Times New Roman" w:hAnsi="Times New Roman" w:cs="Times New Roman"/>
          <w:color w:val="auto"/>
          <w:sz w:val="26"/>
          <w:szCs w:val="26"/>
        </w:rPr>
        <w:t xml:space="preserve"> объектов на всей территории Белгородской области, независимо от формы собственности на земельный участок.</w:t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cs="Times New Roman"/>
          <w:color w:val="auto"/>
          <w:sz w:val="26"/>
          <w:szCs w:val="26"/>
        </w:rPr>
      </w:pPr>
      <w:r>
        <w:rPr>
          <w:rFonts w:hint="default" w:ascii="Times New Roman" w:hAnsi="Times New Roman" w:cs="Times New Roman"/>
          <w:color w:val="auto"/>
          <w:sz w:val="26"/>
          <w:szCs w:val="26"/>
        </w:rPr>
        <w:t xml:space="preserve">Целями также являются:</w:t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cs="Times New Roman"/>
          <w:color w:val="auto"/>
          <w:sz w:val="26"/>
          <w:szCs w:val="26"/>
        </w:rPr>
      </w:pPr>
      <w:r>
        <w:rPr>
          <w:rFonts w:hint="default" w:ascii="Times New Roman" w:hAnsi="Times New Roman" w:cs="Times New Roman"/>
          <w:color w:val="auto"/>
          <w:sz w:val="26"/>
          <w:szCs w:val="26"/>
          <w:lang w:val="ru-RU"/>
        </w:rPr>
        <w:t xml:space="preserve">- у</w:t>
      </w:r>
      <w:r>
        <w:rPr>
          <w:rFonts w:hint="default" w:ascii="Times New Roman" w:hAnsi="Times New Roman" w:cs="Times New Roman"/>
          <w:color w:val="auto"/>
          <w:sz w:val="26"/>
          <w:szCs w:val="26"/>
        </w:rPr>
        <w:t xml:space="preserve">становление прозрачной и обязательной процедуры включения НТО на частной земле в схему размещения</w:t>
      </w:r>
      <w:r>
        <w:rPr>
          <w:rFonts w:hint="default" w:ascii="Times New Roman" w:hAnsi="Times New Roman" w:cs="Times New Roman"/>
          <w:color w:val="auto"/>
          <w:sz w:val="26"/>
          <w:szCs w:val="26"/>
          <w:lang w:val="ru-RU"/>
        </w:rPr>
        <w:t xml:space="preserve">;</w:t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cs="Times New Roman"/>
          <w:color w:val="auto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color w:val="auto"/>
          <w:sz w:val="26"/>
          <w:szCs w:val="26"/>
          <w:lang w:val="ru-RU"/>
        </w:rPr>
        <w:t xml:space="preserve">- о</w:t>
      </w:r>
      <w:r>
        <w:rPr>
          <w:rFonts w:hint="default" w:ascii="Times New Roman" w:hAnsi="Times New Roman" w:cs="Times New Roman"/>
          <w:color w:val="auto"/>
          <w:sz w:val="26"/>
          <w:szCs w:val="26"/>
        </w:rPr>
        <w:t xml:space="preserve">беспечение соответствия внешнего архитектурного облика НТО единым требованиям, установленным органами местного самоуправления</w:t>
      </w:r>
      <w:r>
        <w:rPr>
          <w:rFonts w:hint="default" w:ascii="Times New Roman" w:hAnsi="Times New Roman" w:cs="Times New Roman"/>
          <w:color w:val="auto"/>
          <w:sz w:val="26"/>
          <w:szCs w:val="26"/>
          <w:lang w:val="ru-RU"/>
        </w:rPr>
        <w:t xml:space="preserve"> (далее - орган МСУ);</w:t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cs="Times New Roman"/>
          <w:color w:val="auto"/>
          <w:sz w:val="26"/>
          <w:szCs w:val="26"/>
        </w:rPr>
      </w:pPr>
      <w:r>
        <w:rPr>
          <w:rFonts w:hint="default" w:ascii="Times New Roman" w:hAnsi="Times New Roman" w:cs="Times New Roman"/>
          <w:color w:val="auto"/>
          <w:sz w:val="26"/>
          <w:szCs w:val="26"/>
          <w:lang w:val="ru-RU"/>
        </w:rPr>
        <w:t xml:space="preserve">- с</w:t>
      </w:r>
      <w:r>
        <w:rPr>
          <w:rFonts w:hint="default" w:ascii="Times New Roman" w:hAnsi="Times New Roman" w:cs="Times New Roman"/>
          <w:color w:val="auto"/>
          <w:sz w:val="26"/>
          <w:szCs w:val="26"/>
        </w:rPr>
        <w:t xml:space="preserve">оздание равных условий для всех хозяйствующих субъектов, осуществляющих торговлю через НТО</w:t>
      </w:r>
      <w:r>
        <w:rPr>
          <w:rFonts w:hint="default" w:ascii="Times New Roman" w:hAnsi="Times New Roman" w:cs="Times New Roman"/>
          <w:color w:val="auto"/>
          <w:sz w:val="26"/>
          <w:szCs w:val="26"/>
          <w:lang w:val="ru-RU"/>
        </w:rPr>
        <w:t xml:space="preserve">;</w:t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cs="Times New Roman"/>
          <w:color w:val="auto"/>
          <w:sz w:val="26"/>
          <w:szCs w:val="26"/>
        </w:rPr>
      </w:pPr>
      <w:r>
        <w:rPr>
          <w:rFonts w:hint="default" w:ascii="Times New Roman" w:hAnsi="Times New Roman" w:cs="Times New Roman"/>
          <w:color w:val="auto"/>
          <w:sz w:val="26"/>
          <w:szCs w:val="26"/>
          <w:lang w:val="ru-RU"/>
        </w:rPr>
        <w:t xml:space="preserve">- с</w:t>
      </w:r>
      <w:r>
        <w:rPr>
          <w:rFonts w:hint="default" w:ascii="Times New Roman" w:hAnsi="Times New Roman" w:cs="Times New Roman"/>
          <w:color w:val="auto"/>
          <w:sz w:val="26"/>
          <w:szCs w:val="26"/>
        </w:rPr>
        <w:t xml:space="preserve">нижение числа жалоб граждан и уровня социальной напряженности, связанных с размещением НТО.</w:t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cs="Times New Roman"/>
          <w:color w:val="auto"/>
          <w:sz w:val="26"/>
          <w:szCs w:val="26"/>
        </w:rPr>
      </w:pPr>
      <w:r>
        <w:rPr>
          <w:rFonts w:hint="default" w:ascii="Times New Roman" w:hAnsi="Times New Roman" w:cs="Times New Roman"/>
          <w:color w:val="auto"/>
          <w:sz w:val="26"/>
          <w:szCs w:val="26"/>
        </w:rPr>
        <w:t xml:space="preserve"> </w:t>
      </w:r>
      <w:r>
        <w:rPr>
          <w:rFonts w:hint="default" w:ascii="Times New Roman" w:hAnsi="Times New Roman" w:eastAsia="Calibri" w:cs="Times New Roman"/>
          <w:color w:val="auto"/>
          <w:sz w:val="26"/>
          <w:szCs w:val="26"/>
        </w:rPr>
        <w:t xml:space="preserve">3.2. Обоснование соответствия целей предлагаемого правового регулирования принципам правового регулирования:</w:t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color w:val="auto"/>
          <w:sz w:val="26"/>
          <w:szCs w:val="26"/>
          <w:shd w:val="clear" w:color="auto" w:fill="auto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  <w:shd w:val="clear" w:color="auto" w:fill="auto"/>
        </w:rPr>
        <w:t xml:space="preserve">Предлагаемые цели соответствуют основным принципам правового регулирования, установленным Федеральным законом от 28 декабря 2009 г. № 381-ФЗ «Об основах государственного регулирования торговой деятельности в Российской Федерации», в части:</w:t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color w:val="auto"/>
          <w:sz w:val="26"/>
          <w:szCs w:val="26"/>
          <w:shd w:val="clear" w:color="auto" w:fill="auto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  <w:shd w:val="clear" w:color="auto" w:fill="auto"/>
          <w:lang w:val="ru-RU"/>
        </w:rPr>
        <w:t xml:space="preserve">- о</w:t>
      </w:r>
      <w:r>
        <w:rPr>
          <w:rFonts w:hint="default" w:ascii="Times New Roman" w:hAnsi="Times New Roman" w:eastAsia="Calibri" w:cs="Times New Roman"/>
          <w:color w:val="auto"/>
          <w:sz w:val="26"/>
          <w:szCs w:val="26"/>
          <w:shd w:val="clear" w:color="auto" w:fill="auto"/>
        </w:rPr>
        <w:t xml:space="preserve">беспечения единства экономического пространства — путем установления единых правил для всех участников рынка.</w:t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color w:val="auto"/>
          <w:sz w:val="26"/>
          <w:szCs w:val="26"/>
          <w:shd w:val="clear" w:color="auto" w:fill="auto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  <w:shd w:val="clear" w:color="auto" w:fill="auto"/>
          <w:lang w:val="ru-RU"/>
        </w:rPr>
        <w:t xml:space="preserve">- р</w:t>
      </w:r>
      <w:r>
        <w:rPr>
          <w:rFonts w:hint="default" w:ascii="Times New Roman" w:hAnsi="Times New Roman" w:eastAsia="Calibri" w:cs="Times New Roman"/>
          <w:color w:val="auto"/>
          <w:sz w:val="26"/>
          <w:szCs w:val="26"/>
          <w:shd w:val="clear" w:color="auto" w:fill="auto"/>
        </w:rPr>
        <w:t xml:space="preserve">азвития конкуренции — путем устранения неравных условий для предпринимателей на частной и муниципальной земле.</w:t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color w:val="auto"/>
          <w:sz w:val="26"/>
          <w:szCs w:val="26"/>
          <w:shd w:val="clear" w:color="auto" w:fill="auto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  <w:shd w:val="clear" w:color="auto" w:fill="auto"/>
          <w:lang w:val="ru-RU"/>
        </w:rPr>
        <w:t xml:space="preserve">- о</w:t>
      </w:r>
      <w:r>
        <w:rPr>
          <w:rFonts w:hint="default" w:ascii="Times New Roman" w:hAnsi="Times New Roman" w:eastAsia="Calibri" w:cs="Times New Roman"/>
          <w:color w:val="auto"/>
          <w:sz w:val="26"/>
          <w:szCs w:val="26"/>
          <w:shd w:val="clear" w:color="auto" w:fill="auto"/>
        </w:rPr>
        <w:t xml:space="preserve">беспечения санитарно-эпидемиологического благополучия и безопасности — путем установления обязательных требований к месту размещения и внешнему виду объектов.</w:t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color w:val="auto"/>
          <w:sz w:val="26"/>
          <w:szCs w:val="26"/>
          <w:shd w:val="clear" w:color="auto" w:fill="auto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  <w:shd w:val="clear" w:color="auto" w:fill="auto"/>
        </w:rPr>
        <w:t xml:space="preserve">3.3. Сроки достижения целей предлагаемого правового регулирования: </w:t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color w:val="auto"/>
          <w:sz w:val="26"/>
          <w:szCs w:val="26"/>
          <w:shd w:val="clear" w:color="auto" w:fill="auto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  <w:shd w:val="clear" w:color="auto" w:fill="auto"/>
        </w:rPr>
        <w:t xml:space="preserve">Достижение целей планируется в два этапа:</w:t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color w:val="auto"/>
          <w:sz w:val="26"/>
          <w:szCs w:val="26"/>
          <w:shd w:val="clear" w:color="auto" w:fill="auto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  <w:shd w:val="clear" w:color="auto" w:fill="auto"/>
          <w:lang w:val="ru-RU"/>
        </w:rPr>
        <w:t xml:space="preserve">- к</w:t>
      </w:r>
      <w:r>
        <w:rPr>
          <w:rFonts w:hint="default" w:ascii="Times New Roman" w:hAnsi="Times New Roman" w:eastAsia="Calibri" w:cs="Times New Roman"/>
          <w:color w:val="auto"/>
          <w:sz w:val="26"/>
          <w:szCs w:val="26"/>
          <w:shd w:val="clear" w:color="auto" w:fill="auto"/>
        </w:rPr>
        <w:t xml:space="preserve">раткосрочный этап (в течение 3 месяцев со дня вступления постановления в силу): </w:t>
      </w:r>
      <w:r>
        <w:rPr>
          <w:rFonts w:hint="default" w:ascii="Times New Roman" w:hAnsi="Times New Roman" w:eastAsia="Calibri" w:cs="Times New Roman"/>
          <w:color w:val="auto"/>
          <w:sz w:val="26"/>
          <w:szCs w:val="26"/>
          <w:shd w:val="clear" w:color="auto" w:fill="auto"/>
          <w:lang w:val="ru-RU"/>
        </w:rPr>
        <w:t xml:space="preserve">п</w:t>
      </w:r>
      <w:r>
        <w:rPr>
          <w:rFonts w:hint="default" w:ascii="Times New Roman" w:hAnsi="Times New Roman" w:eastAsia="Calibri" w:cs="Times New Roman"/>
          <w:color w:val="auto"/>
          <w:sz w:val="26"/>
          <w:szCs w:val="26"/>
          <w:shd w:val="clear" w:color="auto" w:fill="auto"/>
        </w:rPr>
        <w:t xml:space="preserve">риведение муниципальных правовых актов в соответствие с новым порядком. Информирование предпринимателей о новых требованиях. В этот же период действует переходное положение, позволяющее осуществлять торговлю без включения в схему.</w:t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color w:val="auto"/>
          <w:sz w:val="26"/>
          <w:szCs w:val="26"/>
          <w:shd w:val="clear" w:color="auto" w:fill="auto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  <w:shd w:val="clear" w:color="auto" w:fill="auto"/>
          <w:lang w:val="ru-RU"/>
        </w:rPr>
        <w:t xml:space="preserve">- с</w:t>
      </w:r>
      <w:r>
        <w:rPr>
          <w:rFonts w:hint="default" w:ascii="Times New Roman" w:hAnsi="Times New Roman" w:eastAsia="Calibri" w:cs="Times New Roman"/>
          <w:color w:val="auto"/>
          <w:sz w:val="26"/>
          <w:szCs w:val="26"/>
          <w:shd w:val="clear" w:color="auto" w:fill="auto"/>
        </w:rPr>
        <w:t xml:space="preserve">реднесрочный этап (в течение 6-12 месяцев со дня вступления постановления в силу): </w:t>
      </w:r>
      <w:r>
        <w:rPr>
          <w:rFonts w:hint="default" w:ascii="Times New Roman" w:hAnsi="Times New Roman" w:eastAsia="Calibri" w:cs="Times New Roman"/>
          <w:color w:val="auto"/>
          <w:sz w:val="26"/>
          <w:szCs w:val="26"/>
          <w:shd w:val="clear" w:color="auto" w:fill="auto"/>
          <w:lang w:val="ru-RU"/>
        </w:rPr>
        <w:t xml:space="preserve">з</w:t>
      </w:r>
      <w:r>
        <w:rPr>
          <w:rFonts w:hint="default" w:ascii="Times New Roman" w:hAnsi="Times New Roman" w:eastAsia="Calibri" w:cs="Times New Roman"/>
          <w:color w:val="auto"/>
          <w:sz w:val="26"/>
          <w:szCs w:val="26"/>
          <w:shd w:val="clear" w:color="auto" w:fill="auto"/>
        </w:rPr>
        <w:t xml:space="preserve">авершение процедур по включению НТО на частной земле в схемы размещения, приведение их архитектурного облика в соответствие с требованиями. Начало системного мониторинга исполнения новых требований.</w:t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color w:val="auto"/>
          <w:sz w:val="26"/>
          <w:szCs w:val="26"/>
          <w:shd w:val="clear" w:color="auto" w:fill="auto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  <w:shd w:val="clear" w:color="auto" w:fill="auto"/>
        </w:rPr>
        <w:t xml:space="preserve">3.4. Иная информация о целях предлагаемого правового регулирования:</w:t>
      </w:r>
      <w:r>
        <w:rPr>
          <w:rFonts w:hint="default" w:ascii="Times New Roman" w:hAnsi="Times New Roman" w:eastAsia="Calibri" w:cs="Times New Roman"/>
          <w:color w:val="auto"/>
          <w:sz w:val="26"/>
          <w:szCs w:val="26"/>
          <w:shd w:val="clear" w:color="auto" w:fill="auto"/>
          <w:lang w:val="ru-RU"/>
        </w:rPr>
        <w:t xml:space="preserve"> </w:t>
      </w:r>
      <w:r>
        <w:rPr>
          <w:rFonts w:hint="default" w:ascii="Times New Roman" w:hAnsi="Times New Roman" w:eastAsia="Calibri" w:cs="Times New Roman"/>
          <w:color w:val="auto"/>
          <w:sz w:val="26"/>
          <w:szCs w:val="26"/>
          <w:shd w:val="clear" w:color="auto" w:fill="auto"/>
        </w:rPr>
        <w:t xml:space="preserve">Отсутствует.</w:t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color w:val="auto"/>
          <w:sz w:val="26"/>
          <w:szCs w:val="26"/>
          <w:shd w:val="clear" w:color="auto" w:fill="auto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  <w:shd w:val="clear" w:color="auto" w:fill="auto"/>
        </w:rPr>
      </w:r>
      <w:r/>
    </w:p>
    <w:p>
      <w:pPr>
        <w:ind w:firstLine="702"/>
        <w:jc w:val="both"/>
        <w:keepLines w:val="0"/>
        <w:keepNext w:val="0"/>
        <w:pageBreakBefore w:val="0"/>
        <w:spacing w:before="0" w:after="0" w:line="240" w:lineRule="auto"/>
        <w:widowControl w:val="off"/>
        <w:rPr>
          <w:rFonts w:hint="default" w:ascii="Times New Roman" w:hAnsi="Times New Roman" w:eastAsia="Calibri" w:cs="Times New Roman"/>
          <w:b/>
          <w:bCs/>
          <w:color w:val="auto"/>
          <w:sz w:val="26"/>
          <w:szCs w:val="26"/>
          <w:lang w:val="ru-RU" w:eastAsia="zh-CN"/>
        </w:rPr>
      </w:pPr>
      <w:r>
        <w:rPr>
          <w:rFonts w:hint="default" w:ascii="Times New Roman" w:hAnsi="Times New Roman" w:eastAsia="Calibri" w:cs="Times New Roman"/>
          <w:b/>
          <w:bCs/>
          <w:color w:val="auto"/>
          <w:sz w:val="26"/>
          <w:szCs w:val="26"/>
          <w:lang w:val="ru-RU" w:eastAsia="ru-RU"/>
        </w:rPr>
        <w:t xml:space="preserve">4. Описание предлагаемого правового регулирования:</w:t>
      </w:r>
      <w:r/>
    </w:p>
    <w:p>
      <w:pPr>
        <w:ind w:firstLine="702"/>
        <w:jc w:val="both"/>
        <w:keepLines w:val="0"/>
        <w:keepNext w:val="0"/>
        <w:pageBreakBefore w:val="0"/>
        <w:spacing w:before="0" w:after="0" w:line="240" w:lineRule="auto"/>
        <w:widowControl w:val="off"/>
        <w:rPr>
          <w:rFonts w:hint="default" w:ascii="Times New Roman" w:hAnsi="Times New Roman" w:eastAsia="Calibri" w:cs="Times New Roman"/>
          <w:color w:val="auto"/>
          <w:sz w:val="26"/>
          <w:szCs w:val="26"/>
          <w:lang w:val="ru-RU" w:eastAsia="zh-CN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  <w:lang w:val="ru-RU" w:eastAsia="zh-CN"/>
        </w:rPr>
        <w:t xml:space="preserve">4.1. Описание предлагаемого способа решения проблемы и преодоления связанных с ней негативных эффектов:</w:t>
      </w:r>
      <w:r/>
    </w:p>
    <w:p>
      <w:pPr>
        <w:ind w:firstLine="702"/>
        <w:jc w:val="both"/>
        <w:keepLines w:val="0"/>
        <w:keepNext w:val="0"/>
        <w:pageBreakBefore w:val="0"/>
        <w:spacing w:before="0" w:after="0" w:line="240" w:lineRule="auto"/>
        <w:widowControl w:val="off"/>
        <w:rPr>
          <w:rFonts w:hint="default" w:ascii="Times New Roman" w:hAnsi="Times New Roman" w:eastAsia="Calibri" w:cs="Times New Roman"/>
          <w:color w:val="auto"/>
          <w:sz w:val="26"/>
          <w:szCs w:val="26"/>
          <w:lang w:val="ru-RU" w:eastAsia="zh-CN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  <w:lang w:val="ru-RU" w:eastAsia="zh-CN"/>
        </w:rPr>
        <w:t xml:space="preserve">Проект постановления вносит изменения в действующий Порядок разработки и утверждения схем размещения НТО, вводя новый раздел, который устанавливает:</w:t>
      </w:r>
      <w:r/>
    </w:p>
    <w:p>
      <w:pPr>
        <w:ind w:firstLine="702"/>
        <w:jc w:val="both"/>
        <w:keepLines w:val="0"/>
        <w:keepNext w:val="0"/>
        <w:pageBreakBefore w:val="0"/>
        <w:spacing w:before="0" w:after="0" w:line="240" w:lineRule="auto"/>
        <w:widowControl w:val="off"/>
        <w:rPr>
          <w:rFonts w:hint="default" w:ascii="Times New Roman" w:hAnsi="Times New Roman" w:eastAsia="Calibri" w:cs="Times New Roman"/>
          <w:color w:val="auto"/>
          <w:sz w:val="26"/>
          <w:szCs w:val="26"/>
          <w:lang w:val="ru-RU" w:eastAsia="zh-CN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  <w:lang w:val="ru-RU" w:eastAsia="zh-CN"/>
        </w:rPr>
        <w:t xml:space="preserve">- обязанность владельцев НТО на частной земле включать свои объекты в муниципальную схему размещения;</w:t>
      </w:r>
      <w:r/>
    </w:p>
    <w:p>
      <w:pPr>
        <w:ind w:firstLine="702"/>
        <w:jc w:val="both"/>
        <w:keepLines w:val="0"/>
        <w:keepNext w:val="0"/>
        <w:pageBreakBefore w:val="0"/>
        <w:spacing w:before="0" w:after="0" w:line="240" w:lineRule="auto"/>
        <w:widowControl w:val="off"/>
        <w:rPr>
          <w:rFonts w:hint="default" w:ascii="Times New Roman" w:hAnsi="Times New Roman" w:eastAsia="Calibri" w:cs="Times New Roman"/>
          <w:color w:val="auto"/>
          <w:sz w:val="26"/>
          <w:szCs w:val="26"/>
          <w:lang w:val="ru-RU" w:eastAsia="zh-CN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  <w:lang w:val="ru-RU" w:eastAsia="zh-CN"/>
        </w:rPr>
        <w:t xml:space="preserve">- процедуру включения НТО в схему на основании заявления в орган местного самоуправления с приложением пакета документов;</w:t>
      </w:r>
      <w:r/>
    </w:p>
    <w:p>
      <w:pPr>
        <w:ind w:firstLine="702"/>
        <w:jc w:val="both"/>
        <w:keepLines w:val="0"/>
        <w:keepNext w:val="0"/>
        <w:pageBreakBefore w:val="0"/>
        <w:spacing w:before="0" w:after="0" w:line="240" w:lineRule="auto"/>
        <w:widowControl w:val="off"/>
        <w:rPr>
          <w:rFonts w:hint="default" w:ascii="Times New Roman" w:hAnsi="Times New Roman" w:eastAsia="Calibri" w:cs="Times New Roman"/>
          <w:color w:val="auto"/>
          <w:sz w:val="26"/>
          <w:szCs w:val="26"/>
          <w:lang w:val="ru-RU" w:eastAsia="zh-CN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  <w:lang w:val="ru-RU" w:eastAsia="zh-CN"/>
        </w:rPr>
        <w:t xml:space="preserve">- требования к архитектурному облику НТО, установленные муниципальными актами.</w:t>
      </w:r>
      <w:r/>
    </w:p>
    <w:p>
      <w:pPr>
        <w:ind w:firstLine="702"/>
        <w:jc w:val="both"/>
        <w:keepLines w:val="0"/>
        <w:keepNext w:val="0"/>
        <w:pageBreakBefore w:val="0"/>
        <w:spacing w:before="0" w:after="0" w:line="240" w:lineRule="auto"/>
        <w:widowControl w:val="off"/>
        <w:rPr>
          <w:rFonts w:hint="default" w:ascii="Times New Roman" w:hAnsi="Times New Roman" w:eastAsia="Calibri" w:cs="Times New Roman"/>
          <w:color w:val="auto"/>
          <w:sz w:val="26"/>
          <w:szCs w:val="26"/>
          <w:lang w:val="ru-RU" w:eastAsia="zh-CN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  <w:lang w:val="ru-RU" w:eastAsia="zh-CN"/>
        </w:rPr>
        <w:t xml:space="preserve">- основания и порядок исключения НТО из схемы.</w:t>
      </w:r>
      <w:r/>
    </w:p>
    <w:p>
      <w:pPr>
        <w:ind w:firstLine="702"/>
        <w:jc w:val="both"/>
        <w:keepLines w:val="0"/>
        <w:keepNext w:val="0"/>
        <w:pageBreakBefore w:val="0"/>
        <w:spacing w:before="0" w:after="0" w:line="240" w:lineRule="auto"/>
        <w:widowControl w:val="off"/>
        <w:rPr>
          <w:rFonts w:hint="default" w:ascii="Times New Roman" w:hAnsi="Times New Roman" w:eastAsia="Calibri" w:cs="Times New Roman"/>
          <w:color w:val="auto"/>
          <w:sz w:val="26"/>
          <w:szCs w:val="26"/>
          <w:lang w:val="ru-RU" w:eastAsia="zh-CN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  <w:lang w:val="ru-RU" w:eastAsia="ru-RU"/>
        </w:rPr>
        <w:t xml:space="preserve">4.2. Альтернативные варианты решения проблемы:</w:t>
      </w:r>
      <w:r/>
    </w:p>
    <w:p>
      <w:pPr>
        <w:ind w:firstLine="702"/>
        <w:jc w:val="both"/>
        <w:keepLines w:val="0"/>
        <w:keepNext w:val="0"/>
        <w:pageBreakBefore w:val="0"/>
        <w:spacing w:before="0" w:after="0" w:line="240" w:lineRule="auto"/>
        <w:widowControl w:val="off"/>
        <w:rPr>
          <w:rFonts w:hint="default" w:ascii="Times New Roman" w:hAnsi="Times New Roman" w:eastAsia="Calibri" w:cs="Times New Roman"/>
          <w:color w:val="auto"/>
          <w:sz w:val="26"/>
          <w:szCs w:val="26"/>
          <w:lang w:val="ru-RU" w:eastAsia="zh-CN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  <w:lang w:val="ru-RU" w:eastAsia="zh-CN"/>
        </w:rPr>
        <w:t xml:space="preserve"> Альтернативный вариант решения проблемы (без ведения нового правового регулирования). Данный вариант невозможен, так как отсутствие регионального правового акта не позволяет органам местного самоуправлени</w:t>
      </w:r>
      <w:r>
        <w:rPr>
          <w:rFonts w:hint="default" w:ascii="Times New Roman" w:hAnsi="Times New Roman" w:eastAsia="Calibri" w:cs="Times New Roman"/>
          <w:color w:val="auto"/>
          <w:sz w:val="26"/>
          <w:szCs w:val="26"/>
          <w:lang w:val="ru-RU" w:eastAsia="zh-CN"/>
        </w:rPr>
        <w:t xml:space="preserve">я применять какие-либо меры к владельцам НТО на частной земле. Сохранение текущей ситуации приведет к сохранению и усугублению всех негативных эффектов. Разработка проекта является не правом, а обязанностью региона, следующей из нового федерального закона.</w:t>
      </w:r>
      <w:r/>
    </w:p>
    <w:p>
      <w:pPr>
        <w:ind w:firstLine="702"/>
        <w:jc w:val="both"/>
        <w:keepLines w:val="0"/>
        <w:keepNext w:val="0"/>
        <w:pageBreakBefore w:val="0"/>
        <w:spacing w:before="0" w:after="0" w:line="240" w:lineRule="auto"/>
        <w:widowControl w:val="off"/>
        <w:rPr>
          <w:rFonts w:hint="default" w:ascii="Times New Roman" w:hAnsi="Times New Roman" w:eastAsia="Calibri" w:cs="Times New Roman"/>
          <w:color w:val="auto"/>
          <w:sz w:val="26"/>
          <w:szCs w:val="26"/>
          <w:lang w:val="ru-RU" w:eastAsia="zh-CN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  <w:lang w:val="ru-RU" w:eastAsia="zh-CN"/>
        </w:rPr>
        <w:t xml:space="preserve"> Альтернативный вариант с установлением упро</w:t>
      </w:r>
      <w:r>
        <w:rPr>
          <w:rFonts w:hint="default" w:ascii="Times New Roman" w:hAnsi="Times New Roman" w:eastAsia="Calibri" w:cs="Times New Roman"/>
          <w:color w:val="auto"/>
          <w:sz w:val="26"/>
          <w:szCs w:val="26"/>
          <w:lang w:val="ru-RU" w:eastAsia="zh-CN"/>
        </w:rPr>
        <w:t xml:space="preserve">щенной процедуры. Возможен альтернативный вариант, при котором процедура включения НТО в схему является не заявительной (как предложено), а уведомительной. В этом случае владелец НТО лишь уведомляет орган МСУ о размещении объекта, а орган МСУ при выявлении</w:t>
      </w:r>
      <w:r>
        <w:rPr>
          <w:rFonts w:hint="default" w:ascii="Times New Roman" w:hAnsi="Times New Roman" w:eastAsia="Calibri" w:cs="Times New Roman"/>
          <w:color w:val="auto"/>
          <w:sz w:val="26"/>
          <w:szCs w:val="26"/>
          <w:lang w:val="ru-RU" w:eastAsia="zh-CN"/>
        </w:rPr>
        <w:t xml:space="preserve"> нарушений инициирует процедуру исключения. Однако этот вариант создает высокие риски для соблюдения архитектурных и иных требований, так как контроль будет осуществляться постфактум, и приведение объекта в соответствие будет более затратным и конфликтным.</w:t>
      </w:r>
      <w:r/>
    </w:p>
    <w:p>
      <w:pPr>
        <w:ind w:firstLine="702"/>
        <w:jc w:val="both"/>
        <w:keepLines w:val="0"/>
        <w:keepNext w:val="0"/>
        <w:pageBreakBefore w:val="0"/>
        <w:spacing w:before="0" w:after="0" w:line="240" w:lineRule="auto"/>
        <w:widowControl w:val="off"/>
        <w:rPr>
          <w:rFonts w:hint="default" w:ascii="Times New Roman" w:hAnsi="Times New Roman" w:eastAsia="Calibri" w:cs="Times New Roman"/>
          <w:color w:val="auto"/>
          <w:sz w:val="26"/>
          <w:szCs w:val="26"/>
          <w:lang w:val="ru-RU" w:eastAsia="ru-RU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  <w:lang w:val="ru-RU" w:eastAsia="ru-RU"/>
        </w:rPr>
        <w:t xml:space="preserve">4.3. Обоснование выбора предлагаемого способа решения проблемы:</w:t>
      </w:r>
      <w:r/>
    </w:p>
    <w:p>
      <w:pPr>
        <w:ind w:firstLine="702"/>
        <w:jc w:val="both"/>
        <w:keepLines w:val="0"/>
        <w:keepNext w:val="0"/>
        <w:pageBreakBefore w:val="0"/>
        <w:spacing w:before="0" w:after="0" w:line="240" w:lineRule="auto"/>
        <w:widowControl w:val="off"/>
        <w:rPr>
          <w:rFonts w:hint="default" w:ascii="Times New Roman" w:hAnsi="Times New Roman" w:eastAsia="Calibri" w:cs="Times New Roman"/>
          <w:color w:val="auto"/>
          <w:sz w:val="26"/>
          <w:szCs w:val="26"/>
          <w:lang w:val="ru-RU" w:eastAsia="ru-RU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  <w:lang w:val="ru-RU" w:eastAsia="ru-RU"/>
        </w:rPr>
        <w:t xml:space="preserve">Предлагаемая заявительная процедура выбрана как наиболее сбалансированная, поскольку она:</w:t>
      </w:r>
      <w:r/>
    </w:p>
    <w:p>
      <w:pPr>
        <w:ind w:firstLine="702"/>
        <w:jc w:val="both"/>
        <w:keepLines w:val="0"/>
        <w:keepNext w:val="0"/>
        <w:pageBreakBefore w:val="0"/>
        <w:spacing w:before="0" w:after="0" w:line="240" w:lineRule="auto"/>
        <w:widowControl w:val="off"/>
        <w:rPr>
          <w:rFonts w:hint="default" w:ascii="Times New Roman" w:hAnsi="Times New Roman" w:eastAsia="Calibri" w:cs="Times New Roman"/>
          <w:color w:val="auto"/>
          <w:sz w:val="26"/>
          <w:szCs w:val="26"/>
          <w:lang w:val="en-US" w:eastAsia="ru-RU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  <w:lang w:val="en-US" w:eastAsia="ru-RU"/>
        </w:rPr>
        <w:t xml:space="preserve">- о</w:t>
      </w:r>
      <w:r>
        <w:rPr>
          <w:rFonts w:hint="default" w:ascii="Times New Roman" w:hAnsi="Times New Roman" w:eastAsia="Calibri" w:cs="Times New Roman"/>
          <w:color w:val="auto"/>
          <w:sz w:val="26"/>
          <w:szCs w:val="26"/>
          <w:lang w:val="ru-RU" w:eastAsia="ru-RU"/>
        </w:rPr>
        <w:t xml:space="preserve">беспечивает предварительный контроль за соблюдением требований, что минимизирует риск нарушений и последующих издержек на их устранение</w:t>
      </w:r>
      <w:r>
        <w:rPr>
          <w:rFonts w:hint="default" w:ascii="Times New Roman" w:hAnsi="Times New Roman" w:eastAsia="Calibri" w:cs="Times New Roman"/>
          <w:color w:val="auto"/>
          <w:sz w:val="26"/>
          <w:szCs w:val="26"/>
          <w:lang w:val="en-US" w:eastAsia="ru-RU"/>
        </w:rPr>
        <w:t xml:space="preserve">;</w:t>
      </w:r>
      <w:r/>
    </w:p>
    <w:p>
      <w:pPr>
        <w:ind w:firstLine="702"/>
        <w:jc w:val="both"/>
        <w:keepLines w:val="0"/>
        <w:keepNext w:val="0"/>
        <w:pageBreakBefore w:val="0"/>
        <w:spacing w:before="0" w:after="0" w:line="240" w:lineRule="auto"/>
        <w:widowControl w:val="off"/>
        <w:rPr>
          <w:rFonts w:hint="default" w:ascii="Times New Roman" w:hAnsi="Times New Roman" w:eastAsia="Calibri" w:cs="Times New Roman"/>
          <w:color w:val="auto"/>
          <w:sz w:val="26"/>
          <w:szCs w:val="26"/>
          <w:lang w:val="en-US" w:eastAsia="ru-RU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  <w:lang w:val="en-US" w:eastAsia="ru-RU"/>
        </w:rPr>
        <w:t xml:space="preserve">- с</w:t>
      </w:r>
      <w:r>
        <w:rPr>
          <w:rFonts w:hint="default" w:ascii="Times New Roman" w:hAnsi="Times New Roman" w:eastAsia="Calibri" w:cs="Times New Roman"/>
          <w:color w:val="auto"/>
          <w:sz w:val="26"/>
          <w:szCs w:val="26"/>
          <w:lang w:val="ru-RU" w:eastAsia="ru-RU"/>
        </w:rPr>
        <w:t xml:space="preserve">оздает правовую определенность для бизнеса: после включения в схему предприниматель получает гарантированное право на размещение объекта</w:t>
      </w:r>
      <w:r>
        <w:rPr>
          <w:rFonts w:hint="default" w:ascii="Times New Roman" w:hAnsi="Times New Roman" w:eastAsia="Calibri" w:cs="Times New Roman"/>
          <w:color w:val="auto"/>
          <w:sz w:val="26"/>
          <w:szCs w:val="26"/>
          <w:lang w:val="en-US" w:eastAsia="ru-RU"/>
        </w:rPr>
        <w:t xml:space="preserve">;</w:t>
      </w:r>
      <w:r/>
    </w:p>
    <w:p>
      <w:pPr>
        <w:ind w:firstLine="702"/>
        <w:jc w:val="both"/>
        <w:keepLines w:val="0"/>
        <w:keepNext w:val="0"/>
        <w:pageBreakBefore w:val="0"/>
        <w:spacing w:before="0" w:after="0" w:line="240" w:lineRule="auto"/>
        <w:widowControl w:val="off"/>
        <w:rPr>
          <w:rFonts w:hint="default" w:ascii="Times New Roman" w:hAnsi="Times New Roman" w:eastAsia="Calibri" w:cs="Times New Roman"/>
          <w:color w:val="auto"/>
          <w:sz w:val="26"/>
          <w:szCs w:val="26"/>
          <w:lang w:val="ru-RU" w:eastAsia="ru-RU"/>
        </w:rPr>
      </w:pPr>
      <w:r>
        <w:rPr>
          <w:rFonts w:hint="default" w:ascii="Times New Roman" w:hAnsi="Times New Roman" w:eastAsia="Calibri" w:cs="Times New Roman"/>
          <w:color w:val="auto"/>
          <w:sz w:val="26"/>
          <w:szCs w:val="26"/>
          <w:lang w:val="en-US" w:eastAsia="ru-RU"/>
        </w:rPr>
        <w:t xml:space="preserve">- с</w:t>
      </w:r>
      <w:r>
        <w:rPr>
          <w:rFonts w:hint="default" w:ascii="Times New Roman" w:hAnsi="Times New Roman" w:eastAsia="Calibri" w:cs="Times New Roman"/>
          <w:color w:val="auto"/>
          <w:sz w:val="26"/>
          <w:szCs w:val="26"/>
          <w:lang w:val="ru-RU" w:eastAsia="ru-RU"/>
        </w:rPr>
        <w:t xml:space="preserve">оответствует сложившейся практике регулирования НТО на муниципальной земле, что упрощает правоприменение.</w:t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bCs/>
          <w:color w:val="auto"/>
          <w:sz w:val="26"/>
          <w:szCs w:val="26"/>
          <w:highlight w:val="none"/>
        </w:rPr>
      </w:pPr>
      <w:r>
        <w:rPr>
          <w:rFonts w:hint="default" w:ascii="Times New Roman" w:hAnsi="Times New Roman" w:eastAsia="Calibri" w:cs="Times New Roman"/>
          <w:bCs/>
          <w:color w:val="auto"/>
          <w:sz w:val="26"/>
          <w:szCs w:val="26"/>
        </w:rPr>
        <w:t xml:space="preserve">4.4.</w:t>
      </w:r>
      <w:r>
        <w:rPr>
          <w:rFonts w:hint="default" w:ascii="Times New Roman" w:hAnsi="Times New Roman" w:eastAsia="Calibri" w:cs="Times New Roman"/>
          <w:color w:val="auto"/>
          <w:sz w:val="26"/>
          <w:szCs w:val="26"/>
          <w:lang w:eastAsia="ru-RU"/>
        </w:rPr>
        <w:t xml:space="preserve"> </w:t>
      </w:r>
      <w:r>
        <w:rPr>
          <w:rFonts w:hint="default" w:ascii="Times New Roman" w:hAnsi="Times New Roman" w:eastAsia="Calibri" w:cs="Times New Roman"/>
          <w:bCs/>
          <w:color w:val="auto"/>
          <w:sz w:val="26"/>
          <w:szCs w:val="26"/>
        </w:rPr>
        <w:t xml:space="preserve">Основные группы субъектов предпринимательской и иной экономической деятельности, иные заинтересованные лица, включая органы государственной власти, интересы которых будут затронуты предлагаемым правовым регулированием. Оценка их количественного состава:</w:t>
      </w:r>
      <w:r/>
    </w:p>
    <w:tbl>
      <w:tblPr>
        <w:tblStyle w:val="645"/>
        <w:tblpPr w:horzAnchor="margin" w:tblpXSpec="left" w:vertAnchor="text" w:tblpY="50" w:leftFromText="180" w:topFromText="0" w:rightFromText="180" w:bottomFromText="0"/>
        <w:tblW w:w="9667" w:type="dxa"/>
        <w:tblInd w:w="-5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4824"/>
        <w:gridCol w:w="4843"/>
      </w:tblGrid>
      <w:tr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4" w:type="dxa"/>
            <w:textDirection w:val="lrTb"/>
            <w:noWrap w:val="false"/>
          </w:tcPr>
          <w:p>
            <w:pPr>
              <w:ind w:right="57"/>
              <w:jc w:val="center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  <w:t xml:space="preserve">Группа участников отношений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3" w:type="dxa"/>
            <w:textDirection w:val="lrTb"/>
            <w:noWrap w:val="false"/>
          </w:tcPr>
          <w:p>
            <w:pPr>
              <w:jc w:val="center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  <w:t xml:space="preserve">Оценка количества участников отношений</w:t>
            </w:r>
            <w:r/>
          </w:p>
        </w:tc>
      </w:tr>
      <w:tr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4" w:type="dxa"/>
            <w:textDirection w:val="lrTb"/>
            <w:noWrap w:val="false"/>
          </w:tcPr>
          <w:p>
            <w:pPr>
              <w:ind w:left="57" w:right="57"/>
              <w:jc w:val="both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Cs/>
                <w:color w:val="auto"/>
                <w:sz w:val="24"/>
                <w:szCs w:val="24"/>
                <w:lang w:val="en-US" w:eastAsia="zh-CN"/>
              </w:rPr>
              <w:t xml:space="preserve">Владельцы и пользователи (арендаторы) </w:t>
            </w:r>
            <w:r>
              <w:rPr>
                <w:rFonts w:hint="default" w:ascii="Times New Roman" w:hAnsi="Times New Roman" w:cs="Times New Roman"/>
                <w:iCs/>
                <w:color w:val="auto"/>
                <w:sz w:val="24"/>
                <w:szCs w:val="24"/>
                <w:lang w:val="ru-RU" w:eastAsia="zh-CN"/>
              </w:rPr>
              <w:t xml:space="preserve">НТО</w:t>
            </w:r>
            <w:r>
              <w:rPr>
                <w:rFonts w:hint="default" w:ascii="Times New Roman" w:hAnsi="Times New Roman" w:cs="Times New Roman"/>
                <w:iCs/>
                <w:color w:val="auto"/>
                <w:sz w:val="24"/>
                <w:szCs w:val="24"/>
                <w:lang w:val="en-US" w:eastAsia="zh-CN"/>
              </w:rPr>
              <w:t xml:space="preserve"> (юридические лица, индивидуальные предприниматели, физические лица,</w:t>
            </w:r>
            <w:r>
              <w:rPr>
                <w:rFonts w:hint="default" w:ascii="Times New Roman" w:hAnsi="Times New Roman" w:cs="Times New Roman"/>
                <w:iCs/>
                <w:color w:val="auto"/>
                <w:sz w:val="24"/>
                <w:szCs w:val="24"/>
                <w:lang w:val="ru-RU" w:eastAsia="zh-CN"/>
              </w:rPr>
              <w:t xml:space="preserve"> не являющиеся индивидуальными предпринимателями и </w:t>
            </w:r>
            <w:r>
              <w:rPr>
                <w:rFonts w:hint="default" w:ascii="Times New Roman" w:hAnsi="Times New Roman" w:cs="Times New Roman"/>
                <w:iCs/>
                <w:color w:val="auto"/>
                <w:sz w:val="24"/>
                <w:szCs w:val="24"/>
                <w:lang w:val="en-US" w:eastAsia="zh-CN"/>
              </w:rPr>
              <w:t xml:space="preserve">применяющие налог на профессиональный доход), размещенных на земельных участках, находящихся в частной собственности.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3" w:type="dxa"/>
            <w:textDirection w:val="lrTb"/>
            <w:noWrap w:val="false"/>
          </w:tcPr>
          <w:p>
            <w:pPr>
              <w:jc w:val="both"/>
              <w:spacing w:before="0" w:after="0" w:line="240" w:lineRule="auto"/>
              <w:widowControl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По экспертной оценке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масштаб регулирования составляет 500 единиц (субъектов, владеющих или арендующих НТО на частной земле). </w:t>
            </w:r>
            <w:r/>
          </w:p>
          <w:p>
            <w:pPr>
              <w:jc w:val="both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</w:rPr>
            </w:r>
            <w:r/>
          </w:p>
        </w:tc>
      </w:tr>
    </w:tbl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bCs/>
          <w:color w:val="auto"/>
          <w:sz w:val="26"/>
          <w:szCs w:val="26"/>
          <w:highlight w:val="none"/>
        </w:rPr>
      </w:pPr>
      <w:r>
        <w:rPr>
          <w:rFonts w:hint="default" w:ascii="Times New Roman" w:hAnsi="Times New Roman" w:eastAsia="Calibri" w:cs="Times New Roman"/>
          <w:bCs/>
          <w:color w:val="auto"/>
          <w:sz w:val="26"/>
          <w:szCs w:val="26"/>
        </w:rPr>
        <w:t xml:space="preserve">4.5. Оценка изменений обязательных требований, обязанностей, ограничений и преимуществ, ответствен</w:t>
      </w:r>
      <w:r>
        <w:rPr>
          <w:rFonts w:hint="default" w:ascii="Times New Roman" w:hAnsi="Times New Roman" w:eastAsia="Calibri" w:cs="Times New Roman"/>
          <w:bCs/>
          <w:color w:val="auto"/>
          <w:sz w:val="26"/>
          <w:szCs w:val="26"/>
        </w:rPr>
        <w:t xml:space="preserve">ности за нарушение нормативных правовых актов Белгородской области, расходов и доходов, а также ожидаемых издержек и выгод для субъектов предпринимательской и иной экономической деятельности, интересы которых затрагиваются вводимым правовым регулированием:</w:t>
      </w:r>
      <w:r/>
    </w:p>
    <w:tbl>
      <w:tblPr>
        <w:tblStyle w:val="645"/>
        <w:tblpPr w:horzAnchor="margin" w:tblpXSpec="left" w:vertAnchor="text" w:tblpY="69" w:leftFromText="180" w:topFromText="0" w:rightFromText="180" w:bottomFromText="0"/>
        <w:tblW w:w="9667" w:type="dxa"/>
        <w:tblInd w:w="-5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1989"/>
        <w:gridCol w:w="3260"/>
        <w:gridCol w:w="4418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9" w:type="dxa"/>
            <w:textDirection w:val="lrTb"/>
            <w:noWrap w:val="false"/>
          </w:tcPr>
          <w:p>
            <w:pPr>
              <w:jc w:val="center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/>
                <w:iCs/>
                <w:color w:val="auto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auto"/>
              </w:rPr>
              <w:t xml:space="preserve">Группа участников отношений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textDirection w:val="lrTb"/>
            <w:noWrap w:val="false"/>
          </w:tcPr>
          <w:p>
            <w:pPr>
              <w:jc w:val="center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/>
                <w:color w:val="auto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auto"/>
              </w:rPr>
              <w:t xml:space="preserve">Описание новых или изменения содержания существующих обязательных требований, обязанностей, ограничений, преимуществ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8" w:type="dxa"/>
            <w:textDirection w:val="lrTb"/>
            <w:noWrap w:val="false"/>
          </w:tcPr>
          <w:p>
            <w:pPr>
              <w:jc w:val="center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/>
                <w:color w:val="auto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auto"/>
              </w:rPr>
              <w:t xml:space="preserve">Оценка изменения расходов/доходов,</w:t>
            </w:r>
            <w:r/>
          </w:p>
          <w:p>
            <w:pPr>
              <w:jc w:val="center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/>
                <w:color w:val="auto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auto"/>
              </w:rPr>
              <w:t xml:space="preserve">издержек/выгод,</w:t>
            </w:r>
            <w:r/>
          </w:p>
          <w:p>
            <w:pPr>
              <w:jc w:val="center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/>
                <w:color w:val="auto"/>
                <w:highlight w:val="none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auto"/>
              </w:rPr>
              <w:t xml:space="preserve">тыс. руб.</w:t>
            </w:r>
            <w:r>
              <w:rPr>
                <w:rFonts w:hint="default" w:ascii="Times New Roman" w:hAnsi="Times New Roman" w:eastAsia="Calibri" w:cs="Times New Roman"/>
                <w:b/>
                <w:color w:val="auto"/>
                <w:lang w:val="ru-RU"/>
              </w:rPr>
              <w:t xml:space="preserve"> *</w:t>
            </w:r>
            <w:r/>
          </w:p>
        </w:tc>
      </w:tr>
      <w:tr>
        <w:trPr>
          <w:trHeight w:val="3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9" w:type="dxa"/>
            <w:textDirection w:val="lrTb"/>
            <w:noWrap w:val="false"/>
          </w:tcPr>
          <w:p>
            <w:pPr>
              <w:jc w:val="both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iCs/>
                <w:color w:val="auto"/>
                <w:lang w:val="en-US" w:eastAsia="zh-CN"/>
              </w:rPr>
              <w:t xml:space="preserve">Владельцы НТО на частной земле (юридические лица, ИП, самозанятые).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textDirection w:val="lrTb"/>
            <w:noWrap w:val="false"/>
          </w:tcPr>
          <w:p>
            <w:pPr>
              <w:jc w:val="left"/>
              <w:spacing w:before="0" w:after="0" w:line="240" w:lineRule="auto"/>
              <w:widowControl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single"/>
              </w:rPr>
              <w:t xml:space="preserve"> Обязанность:</w:t>
            </w:r>
            <w:r/>
          </w:p>
          <w:p>
            <w:pPr>
              <w:jc w:val="left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ru-RU" w:eastAsia="zh-CN"/>
              </w:rPr>
            </w:pPr>
            <w:r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ru-RU" w:eastAsia="zh-CN"/>
              </w:rPr>
              <w:t xml:space="preserve">- </w:t>
            </w:r>
            <w:r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en-US" w:eastAsia="zh-CN"/>
              </w:rPr>
              <w:t xml:space="preserve">подачи заявления для включения НТО в схему размещения</w:t>
            </w:r>
            <w:r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ru-RU" w:eastAsia="zh-CN"/>
              </w:rPr>
              <w:t xml:space="preserve">;</w:t>
            </w:r>
            <w:r/>
          </w:p>
          <w:p>
            <w:pPr>
              <w:jc w:val="left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ru-RU" w:eastAsia="zh-CN"/>
              </w:rPr>
            </w:pPr>
            <w:r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ru-RU" w:eastAsia="zh-CN"/>
              </w:rPr>
              <w:t xml:space="preserve">- предоставления документов: графическое отображение места, информация об архитектурном облике, согласие собственника земли, копия правоустанавливающего документа;</w:t>
            </w:r>
            <w:r/>
          </w:p>
          <w:p>
            <w:pPr>
              <w:jc w:val="left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ru-RU" w:eastAsia="zh-CN"/>
              </w:rPr>
            </w:pPr>
            <w:r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ru-RU" w:eastAsia="zh-CN"/>
              </w:rPr>
              <w:t xml:space="preserve">- соответствия архитектурному облику НТО требованиям органа МСУ;</w:t>
            </w:r>
            <w:r/>
          </w:p>
          <w:p>
            <w:pPr>
              <w:jc w:val="left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ru-RU" w:eastAsia="zh-CN"/>
              </w:rPr>
            </w:pPr>
            <w:r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ru-RU" w:eastAsia="zh-CN"/>
              </w:rPr>
              <w:t xml:space="preserve">- соответствия целевому назначению и виду развешенного использования земельного участка</w:t>
            </w:r>
            <w:r/>
          </w:p>
          <w:p>
            <w:pPr>
              <w:jc w:val="left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i w:val="0"/>
                <w:iCs w:val="0"/>
                <w:color w:val="auto"/>
                <w:sz w:val="22"/>
                <w:szCs w:val="22"/>
                <w:highlight w:val="none"/>
                <w:u w:val="single"/>
              </w:rPr>
            </w:pPr>
            <w:r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u w:val="single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/>
                <w:i w:val="0"/>
                <w:iCs w:val="0"/>
                <w:color w:val="auto"/>
                <w:sz w:val="22"/>
                <w:szCs w:val="22"/>
                <w:u w:val="single"/>
              </w:rPr>
              <w:t xml:space="preserve">Преимуществ</w:t>
            </w:r>
            <w:r>
              <w:rPr>
                <w:rFonts w:hint="default" w:ascii="Times New Roman" w:hAnsi="Times New Roman" w:eastAsia="Calibri" w:cs="Times New Roman"/>
                <w:b/>
                <w:bCs w:val="0"/>
                <w:i w:val="0"/>
                <w:iCs w:val="0"/>
                <w:color w:val="auto"/>
                <w:sz w:val="22"/>
                <w:szCs w:val="22"/>
                <w:u w:val="single"/>
              </w:rPr>
              <w:t xml:space="preserve">а</w:t>
            </w:r>
            <w:r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u w:val="single"/>
              </w:rPr>
              <w:t xml:space="preserve">:</w:t>
            </w:r>
            <w:r/>
          </w:p>
          <w:p>
            <w:pPr>
              <w:jc w:val="left"/>
              <w:spacing w:before="0" w:after="0" w:afterAutospacing="0" w:line="240" w:lineRule="auto"/>
              <w:widowControl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  <w:lang w:val="ru-RU"/>
              </w:rPr>
              <w:t xml:space="preserve">-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2"/>
                <w:szCs w:val="22"/>
                <w:u w:val="none"/>
                <w:lang w:val="ru-RU" w:eastAsia="zh-CN"/>
              </w:rPr>
              <w:t xml:space="preserve">получение легального и защищенного права на размещение НТО на собственном участке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8" w:type="dxa"/>
            <w:textDirection w:val="lrTb"/>
            <w:noWrap w:val="false"/>
          </w:tcPr>
          <w:p>
            <w:pPr>
              <w:jc w:val="left"/>
              <w:spacing w:before="0" w:after="0" w:afterAutospacing="0" w:line="240" w:lineRule="auto"/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sz w:val="24"/>
                <w:szCs w:val="24"/>
                <w:highlight w:val="none"/>
                <w:lang w:val="ru-RU"/>
              </w:rPr>
              <w:t xml:space="preserve">расчет произведен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sz w:val="24"/>
                <w:szCs w:val="24"/>
                <w:highlight w:val="none"/>
                <w:lang w:val="ru-RU"/>
              </w:rPr>
              <w:t xml:space="preserve">на 500 субъектов:</w:t>
            </w:r>
            <w:r/>
          </w:p>
          <w:p>
            <w:pPr>
              <w:jc w:val="left"/>
              <w:spacing w:after="0" w:afterAutospacing="0" w:line="240" w:lineRule="auto"/>
              <w:rPr>
                <w:rFonts w:hint="default" w:ascii="Times New Roman" w:hAnsi="Times New Roman" w:eastAsia="Times New Roman" w:cs="Times New Roman"/>
                <w:color w:val="auto"/>
                <w:lang w:val="en-US" w:eastAsia="ru-RU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sz w:val="24"/>
                <w:szCs w:val="24"/>
                <w:highlight w:val="none"/>
                <w:lang w:val="ru-RU"/>
              </w:rPr>
              <w:t xml:space="preserve">- в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sz w:val="24"/>
                <w:szCs w:val="24"/>
                <w:highlight w:val="none"/>
                <w:lang w:val="ru-RU" w:eastAsia="zh-CN"/>
              </w:rPr>
              <w:t xml:space="preserve">ременные издержки  -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zh-CN"/>
              </w:rPr>
              <w:t xml:space="preserve">1 510, 18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sz w:val="24"/>
                <w:szCs w:val="24"/>
                <w:highlight w:val="none"/>
                <w:lang w:val="ru-RU" w:eastAsia="zh-CN"/>
              </w:rPr>
              <w:t xml:space="preserve">;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vertAlign w:val="baseline"/>
                <w:lang w:val="en-US" w:eastAsia="ru-RU"/>
              </w:rPr>
            </w:r>
            <w:r/>
          </w:p>
          <w:p>
            <w:pPr>
              <w:jc w:val="left"/>
              <w:spacing w:before="0" w:after="0" w:afterAutospacing="0" w:line="240" w:lineRule="auto"/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sz w:val="24"/>
                <w:szCs w:val="24"/>
                <w:highlight w:val="none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sz w:val="24"/>
                <w:szCs w:val="24"/>
                <w:highlight w:val="none"/>
                <w:lang w:val="ru-RU" w:eastAsia="zh-CN"/>
              </w:rPr>
              <w:t xml:space="preserve">- нотариальные расходы  - 285;</w:t>
            </w:r>
            <w:r/>
          </w:p>
          <w:p>
            <w:pPr>
              <w:jc w:val="left"/>
              <w:spacing w:before="0" w:after="0" w:afterAutospacing="0" w:line="240" w:lineRule="auto"/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sz w:val="24"/>
                <w:szCs w:val="24"/>
                <w:highlight w:val="none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sz w:val="24"/>
                <w:szCs w:val="24"/>
                <w:highlight w:val="none"/>
                <w:lang w:val="ru-RU" w:eastAsia="zh-CN"/>
              </w:rPr>
              <w:t xml:space="preserve">- разработка дизайн-проекта -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sz w:val="24"/>
                <w:szCs w:val="24"/>
                <w:highlight w:val="none"/>
                <w:lang w:val="ru-RU" w:eastAsia="zh-CN"/>
              </w:rPr>
              <w:br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sz w:val="24"/>
                <w:szCs w:val="24"/>
                <w:highlight w:val="none"/>
                <w:lang w:val="ru-RU" w:eastAsia="zh-CN"/>
              </w:rPr>
              <w:t xml:space="preserve">от 1 500 до 5 000;</w:t>
            </w:r>
            <w:r/>
          </w:p>
          <w:p>
            <w:pPr>
              <w:jc w:val="left"/>
              <w:spacing w:before="0" w:after="0" w:afterAutospacing="0" w:line="240" w:lineRule="auto"/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sz w:val="24"/>
                <w:szCs w:val="24"/>
                <w:highlight w:val="none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sz w:val="24"/>
                <w:szCs w:val="24"/>
                <w:highlight w:val="none"/>
                <w:lang w:val="ru-RU" w:eastAsia="zh-CN"/>
              </w:rPr>
              <w:t xml:space="preserve">- приведение внешнего вида НТО - от 5 000 до 20 000</w:t>
            </w:r>
            <w:r/>
          </w:p>
          <w:p>
            <w:pPr>
              <w:jc w:val="left"/>
              <w:spacing w:before="0" w:after="0" w:afterAutospacing="0" w:line="240" w:lineRule="auto"/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sz w:val="24"/>
                <w:szCs w:val="24"/>
                <w:highlight w:val="none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sz w:val="24"/>
                <w:szCs w:val="24"/>
                <w:highlight w:val="none"/>
                <w:lang w:val="ru-RU" w:eastAsia="zh-CN"/>
              </w:rPr>
              <w:t xml:space="preserve">ИТОГО финансовых издержек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sz w:val="24"/>
                <w:szCs w:val="24"/>
                <w:highlight w:val="none"/>
                <w:lang w:val="ru-RU" w:eastAsia="zh-CN"/>
              </w:rPr>
              <w:br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sz w:val="24"/>
                <w:szCs w:val="24"/>
                <w:highlight w:val="none"/>
                <w:lang w:val="ru-RU" w:eastAsia="zh-CN"/>
              </w:rPr>
              <w:t xml:space="preserve">- от 6 785 до 25 285</w:t>
            </w:r>
            <w:r/>
          </w:p>
          <w:p>
            <w:pPr>
              <w:jc w:val="left"/>
              <w:spacing w:before="0" w:after="0" w:afterAutospacing="0" w:line="240" w:lineRule="auto"/>
              <w:rPr>
                <w:rFonts w:hint="default" w:ascii="Times New Roman" w:hAnsi="Times New Roman" w:cs="Times New Roman"/>
                <w:b/>
                <w:bCs/>
                <w:i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color w:val="auto"/>
                <w:sz w:val="24"/>
                <w:szCs w:val="24"/>
                <w:highlight w:val="none"/>
                <w:lang w:val="ru-RU" w:eastAsia="zh-CN"/>
              </w:rPr>
              <w:t xml:space="preserve">ВСЕГО (с учетом временных издержек) - от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8 295,18 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color w:val="auto"/>
                <w:sz w:val="24"/>
                <w:szCs w:val="24"/>
                <w:highlight w:val="none"/>
                <w:lang w:val="ru-RU" w:eastAsia="zh-CN"/>
              </w:rPr>
              <w:t xml:space="preserve">до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6"/>
                <w:szCs w:val="26"/>
                <w:vertAlign w:val="baseline"/>
                <w:lang w:val="en-US" w:eastAsia="ru-RU"/>
              </w:rPr>
              <w:t xml:space="preserve">26 795,18</w:t>
            </w:r>
            <w:r>
              <w:rPr>
                <w:b/>
                <w:bCs/>
              </w:rPr>
            </w:r>
            <w:r/>
          </w:p>
        </w:tc>
      </w:tr>
    </w:tbl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bCs/>
          <w:color w:val="auto"/>
          <w:sz w:val="26"/>
          <w:szCs w:val="26"/>
          <w:lang w:val="ru-RU"/>
        </w:rPr>
      </w:pPr>
      <w:r>
        <w:rPr>
          <w:rFonts w:hint="default" w:ascii="Times New Roman" w:hAnsi="Times New Roman" w:eastAsia="Calibri" w:cs="Times New Roman"/>
          <w:bCs/>
          <w:color w:val="auto"/>
          <w:sz w:val="26"/>
          <w:szCs w:val="26"/>
          <w:lang w:val="ru-RU"/>
        </w:rPr>
        <w:t xml:space="preserve">* - Источники данных для расчета:</w:t>
      </w:r>
      <w:r/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 w:eastAsia="Tinos" w:cs="Times New Roman"/>
          <w:b w:val="0"/>
          <w:bCs w:val="0"/>
          <w:sz w:val="26"/>
          <w:szCs w:val="26"/>
          <w:lang w:eastAsia="ru-RU"/>
        </w:rPr>
      </w:pPr>
      <w:r>
        <w:rPr>
          <w:rFonts w:hint="default" w:ascii="Times New Roman" w:hAnsi="Times New Roman" w:eastAsia="Calibri" w:cs="Times New Roman"/>
          <w:b w:val="0"/>
          <w:bCs w:val="0"/>
          <w:color w:val="auto"/>
          <w:sz w:val="26"/>
          <w:szCs w:val="26"/>
          <w:lang w:val="ru-RU"/>
        </w:rPr>
      </w:r>
      <w:r>
        <w:rPr>
          <w:rFonts w:ascii="Times New Roman" w:hAnsi="Times New Roman" w:eastAsia="Tinos" w:cs="Times New Roman"/>
          <w:b w:val="0"/>
          <w:bCs w:val="0"/>
          <w:sz w:val="26"/>
          <w:szCs w:val="26"/>
          <w:lang w:eastAsia="ru-RU"/>
        </w:rPr>
        <w:t xml:space="preserve">Среднемесячная за</w:t>
      </w:r>
      <w:r>
        <w:rPr>
          <w:rFonts w:ascii="Times New Roman" w:hAnsi="Times New Roman" w:eastAsia="Tinos" w:cs="Times New Roman"/>
          <w:b w:val="0"/>
          <w:bCs w:val="0"/>
          <w:sz w:val="26"/>
          <w:szCs w:val="26"/>
          <w:lang w:eastAsia="ru-RU"/>
        </w:rPr>
        <w:t xml:space="preserve">работная плата в Белгородской области по отрасли</w:t>
      </w:r>
      <w:r>
        <w:rPr>
          <w:rFonts w:ascii="Times New Roman" w:hAnsi="Times New Roman" w:eastAsia="Tinos" w:cs="Times New Roman"/>
          <w:b w:val="0"/>
          <w:bCs w:val="0"/>
          <w:sz w:val="26"/>
          <w:szCs w:val="26"/>
          <w:lang w:eastAsia="ru-RU"/>
        </w:rPr>
        <w:t xml:space="preserve">:</w:t>
      </w:r>
      <w:r>
        <w:rPr>
          <w:rFonts w:ascii="Times New Roman" w:hAnsi="Times New Roman" w:eastAsia="Tinos" w:cs="Times New Roman"/>
          <w:b w:val="0"/>
          <w:bCs w:val="0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nos" w:cs="Times New Roman"/>
          <w:b w:val="0"/>
          <w:bCs w:val="0"/>
          <w:sz w:val="26"/>
          <w:szCs w:val="26"/>
          <w:lang w:eastAsia="ru-RU"/>
        </w:rPr>
        <w:t xml:space="preserve">58 416 руб. </w:t>
      </w:r>
      <w:r>
        <w:rPr>
          <w:rFonts w:ascii="Times New Roman" w:hAnsi="Times New Roman" w:eastAsia="Tinos" w:cs="Times New Roman"/>
          <w:b w:val="0"/>
          <w:bCs w:val="0"/>
          <w:sz w:val="26"/>
          <w:szCs w:val="26"/>
          <w:lang w:eastAsia="ru-RU"/>
        </w:rPr>
      </w:r>
      <w:r/>
    </w:p>
    <w:p>
      <w:pPr>
        <w:ind w:left="0" w:right="0" w:firstLine="0"/>
        <w:jc w:val="both"/>
        <w:spacing w:before="0" w:after="0" w:line="240" w:lineRule="auto"/>
        <w:rPr>
          <w:rFonts w:hint="default" w:ascii="Times New Roman" w:hAnsi="Times New Roman" w:eastAsia="Calibri" w:cs="Times New Roman"/>
          <w:bCs/>
          <w:color w:val="auto"/>
          <w:sz w:val="26"/>
          <w:szCs w:val="26"/>
          <w:lang w:val="ru-RU"/>
        </w:rPr>
      </w:pPr>
      <w:r>
        <w:rPr>
          <w:rFonts w:hint="default" w:ascii="Times New Roman" w:hAnsi="Times New Roman" w:eastAsia="Calibri" w:cs="Times New Roman"/>
          <w:bCs/>
          <w:color w:val="auto"/>
          <w:sz w:val="26"/>
          <w:szCs w:val="26"/>
          <w:lang w:val="ru-RU"/>
        </w:rPr>
        <w:t xml:space="preserve">Страховые взносы — 30% (коэффициент 1,30).</w:t>
      </w:r>
      <w:r/>
    </w:p>
    <w:p>
      <w:pPr>
        <w:ind w:left="0" w:right="0" w:firstLine="0"/>
        <w:jc w:val="both"/>
        <w:spacing w:before="0" w:after="0" w:line="240" w:lineRule="auto"/>
        <w:rPr>
          <w:rFonts w:hint="default" w:ascii="Times New Roman" w:hAnsi="Times New Roman" w:eastAsia="Calibri" w:cs="Times New Roman"/>
          <w:bCs/>
          <w:color w:val="auto"/>
          <w:sz w:val="26"/>
          <w:szCs w:val="26"/>
          <w:lang w:val="ru-RU"/>
        </w:rPr>
      </w:pPr>
      <w:r>
        <w:rPr>
          <w:rFonts w:hint="default" w:ascii="Times New Roman" w:hAnsi="Times New Roman" w:eastAsia="Calibri" w:cs="Times New Roman"/>
          <w:bCs/>
          <w:color w:val="auto"/>
          <w:sz w:val="26"/>
          <w:szCs w:val="26"/>
          <w:lang w:val="ru-RU"/>
        </w:rPr>
        <w:t xml:space="preserve">Нотариальные тарифы (Белгородская область) — от 70 до 190 руб./страница.</w:t>
      </w:r>
      <w:r/>
    </w:p>
    <w:p>
      <w:pPr>
        <w:ind w:left="0" w:right="0" w:firstLine="0"/>
        <w:jc w:val="both"/>
        <w:spacing w:before="0" w:after="0" w:line="240" w:lineRule="auto"/>
        <w:rPr>
          <w:rFonts w:hint="default" w:ascii="Times New Roman" w:hAnsi="Times New Roman" w:eastAsia="Calibri" w:cs="Times New Roman"/>
          <w:bCs/>
          <w:color w:val="auto"/>
          <w:sz w:val="26"/>
          <w:szCs w:val="26"/>
          <w:lang w:val="ru-RU"/>
        </w:rPr>
      </w:pPr>
      <w:r>
        <w:rPr>
          <w:rFonts w:hint="default" w:ascii="Times New Roman" w:hAnsi="Times New Roman" w:eastAsia="Calibri" w:cs="Times New Roman"/>
          <w:bCs/>
          <w:color w:val="auto"/>
          <w:sz w:val="26"/>
          <w:szCs w:val="26"/>
          <w:lang w:val="ru-RU"/>
        </w:rPr>
        <w:t xml:space="preserve">Рыночные цены на дизайн-проекты и ремонтные работы — на основе данных тендеров по Белгородской области.</w:t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bCs/>
          <w:color w:val="auto"/>
          <w:sz w:val="26"/>
          <w:szCs w:val="26"/>
        </w:rPr>
      </w:pPr>
      <w:r>
        <w:rPr>
          <w:rFonts w:hint="default" w:ascii="Times New Roman" w:hAnsi="Times New Roman" w:eastAsia="Calibri" w:cs="Times New Roman"/>
          <w:bCs/>
          <w:color w:val="auto"/>
          <w:sz w:val="26"/>
          <w:szCs w:val="26"/>
        </w:rPr>
        <w:t xml:space="preserve">4.6. Новые функции, полномочия, обязанности и права, а также ожидаемые издержки и выгоды органов государственной власти и органов </w:t>
      </w:r>
      <w:r>
        <w:rPr>
          <w:rFonts w:hint="default" w:ascii="Times New Roman" w:hAnsi="Times New Roman" w:eastAsia="Calibri" w:cs="Times New Roman"/>
          <w:bCs/>
          <w:color w:val="auto"/>
          <w:sz w:val="26"/>
          <w:szCs w:val="26"/>
          <w:lang w:val="ru-RU"/>
        </w:rPr>
        <w:t xml:space="preserve">МСУ</w:t>
      </w:r>
      <w:r>
        <w:rPr>
          <w:rFonts w:hint="default" w:ascii="Times New Roman" w:hAnsi="Times New Roman" w:eastAsia="Calibri" w:cs="Times New Roman"/>
          <w:bCs/>
          <w:color w:val="auto"/>
          <w:sz w:val="26"/>
          <w:szCs w:val="26"/>
        </w:rPr>
        <w:t xml:space="preserve"> или сведения об их изменении:</w:t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bCs/>
          <w:color w:val="auto"/>
          <w:sz w:val="26"/>
          <w:szCs w:val="26"/>
          <w:lang w:val="ru-RU"/>
        </w:rPr>
      </w:pPr>
      <w:r>
        <w:rPr>
          <w:rFonts w:hint="default" w:ascii="Times New Roman" w:hAnsi="Times New Roman" w:eastAsia="Calibri" w:cs="Times New Roman"/>
          <w:bCs/>
          <w:color w:val="auto"/>
          <w:sz w:val="26"/>
          <w:szCs w:val="26"/>
          <w:lang w:val="ru-RU"/>
        </w:rPr>
        <w:t xml:space="preserve">4.6.1 Х</w:t>
      </w:r>
      <w:r>
        <w:rPr>
          <w:rFonts w:hint="default" w:ascii="Times New Roman" w:hAnsi="Times New Roman" w:eastAsia="Calibri" w:cs="Times New Roman"/>
          <w:bCs/>
          <w:color w:val="auto"/>
          <w:sz w:val="26"/>
          <w:szCs w:val="26"/>
        </w:rPr>
        <w:t xml:space="preserve">арактер изменений</w:t>
      </w:r>
      <w:r>
        <w:rPr>
          <w:rFonts w:hint="default" w:ascii="Times New Roman" w:hAnsi="Times New Roman" w:eastAsia="Calibri" w:cs="Times New Roman"/>
          <w:bCs/>
          <w:color w:val="auto"/>
          <w:sz w:val="26"/>
          <w:szCs w:val="26"/>
          <w:lang w:val="ru-RU"/>
        </w:rPr>
        <w:t xml:space="preserve">:</w:t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bCs/>
          <w:color w:val="auto"/>
          <w:sz w:val="26"/>
          <w:szCs w:val="26"/>
        </w:rPr>
      </w:pPr>
      <w:r>
        <w:rPr>
          <w:rFonts w:hint="default" w:ascii="Times New Roman" w:hAnsi="Times New Roman" w:eastAsia="Calibri" w:cs="Times New Roman"/>
          <w:bCs/>
          <w:color w:val="auto"/>
          <w:sz w:val="26"/>
          <w:szCs w:val="26"/>
        </w:rPr>
        <w:t xml:space="preserve">Проект постановления не вводит новых функций и полномочий для органов государственной власти Белгородской области.</w:t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bCs/>
          <w:color w:val="auto"/>
          <w:sz w:val="26"/>
          <w:szCs w:val="26"/>
        </w:rPr>
      </w:pPr>
      <w:r>
        <w:rPr>
          <w:rFonts w:hint="default" w:ascii="Times New Roman" w:hAnsi="Times New Roman" w:eastAsia="Calibri" w:cs="Times New Roman"/>
          <w:bCs/>
          <w:color w:val="auto"/>
          <w:sz w:val="26"/>
          <w:szCs w:val="26"/>
        </w:rPr>
        <w:t xml:space="preserve">Дополнительная нагрузка ложится на органы </w:t>
      </w:r>
      <w:r>
        <w:rPr>
          <w:rFonts w:hint="default" w:ascii="Times New Roman" w:hAnsi="Times New Roman" w:eastAsia="Calibri" w:cs="Times New Roman"/>
          <w:bCs/>
          <w:color w:val="auto"/>
          <w:sz w:val="26"/>
          <w:szCs w:val="26"/>
          <w:lang w:val="ru-RU"/>
        </w:rPr>
        <w:t xml:space="preserve">МСУ </w:t>
      </w:r>
      <w:r>
        <w:rPr>
          <w:rFonts w:hint="default" w:ascii="Times New Roman" w:hAnsi="Times New Roman" w:eastAsia="Calibri" w:cs="Times New Roman"/>
          <w:bCs/>
          <w:color w:val="auto"/>
          <w:sz w:val="26"/>
          <w:szCs w:val="26"/>
        </w:rPr>
        <w:t xml:space="preserve">в связи с новыми процедурами: прием заявлений, проверка документов, контроль и принятие решений по НТО на частной земле.</w:t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bCs/>
          <w:color w:val="auto"/>
          <w:sz w:val="26"/>
          <w:szCs w:val="26"/>
          <w:lang w:val="ru-RU"/>
        </w:rPr>
      </w:pPr>
      <w:r>
        <w:rPr>
          <w:rFonts w:hint="default" w:ascii="Times New Roman" w:hAnsi="Times New Roman" w:eastAsia="Calibri" w:cs="Times New Roman"/>
          <w:bCs/>
          <w:color w:val="auto"/>
          <w:sz w:val="26"/>
          <w:szCs w:val="26"/>
          <w:lang w:val="ru-RU" w:eastAsia="zh-CN"/>
        </w:rPr>
        <w:t xml:space="preserve">4.6.2 Д</w:t>
      </w:r>
      <w:r>
        <w:rPr>
          <w:rFonts w:hint="default" w:ascii="Times New Roman" w:hAnsi="Times New Roman" w:eastAsia="Calibri" w:cs="Times New Roman"/>
          <w:bCs/>
          <w:color w:val="auto"/>
          <w:sz w:val="26"/>
          <w:szCs w:val="26"/>
          <w:lang w:val="en-US" w:eastAsia="zh-CN"/>
        </w:rPr>
        <w:t xml:space="preserve">ополнительные трудозатраты органов МСУ</w:t>
      </w:r>
      <w:r>
        <w:rPr>
          <w:rFonts w:hint="default" w:ascii="Times New Roman" w:hAnsi="Times New Roman" w:eastAsia="Calibri" w:cs="Times New Roman"/>
          <w:bCs/>
          <w:color w:val="auto"/>
          <w:sz w:val="26"/>
          <w:szCs w:val="26"/>
          <w:lang w:val="ru-RU" w:eastAsia="zh-CN"/>
        </w:rPr>
        <w:t xml:space="preserve">:</w:t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bCs/>
          <w:color w:val="auto"/>
          <w:sz w:val="26"/>
          <w:szCs w:val="26"/>
        </w:rPr>
      </w:pPr>
      <w:r>
        <w:rPr>
          <w:rFonts w:hint="default" w:ascii="Times New Roman" w:hAnsi="Times New Roman" w:eastAsia="Calibri" w:cs="Times New Roman"/>
          <w:bCs/>
          <w:color w:val="auto"/>
          <w:sz w:val="26"/>
          <w:szCs w:val="26"/>
        </w:rPr>
        <w:t xml:space="preserve">Новые функции и их трудоемкость (на одну процедуру):</w:t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bCs/>
          <w:color w:val="auto"/>
          <w:sz w:val="26"/>
          <w:szCs w:val="26"/>
        </w:rPr>
      </w:pPr>
      <w:r>
        <w:rPr>
          <w:rFonts w:hint="default" w:ascii="Times New Roman" w:hAnsi="Times New Roman" w:eastAsia="Calibri" w:cs="Times New Roman"/>
          <w:bCs/>
          <w:color w:val="auto"/>
          <w:sz w:val="26"/>
          <w:szCs w:val="26"/>
          <w:lang w:val="ru-RU"/>
        </w:rPr>
        <w:t xml:space="preserve">-</w:t>
      </w:r>
      <w:r>
        <w:rPr>
          <w:rFonts w:hint="default" w:ascii="Times New Roman" w:hAnsi="Times New Roman" w:eastAsia="Calibri" w:cs="Times New Roman"/>
          <w:bCs/>
          <w:color w:val="auto"/>
          <w:sz w:val="26"/>
          <w:szCs w:val="26"/>
        </w:rPr>
        <w:t xml:space="preserve">Прием и регистрация заявления — 0,5 чел./час.</w:t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bCs/>
          <w:color w:val="auto"/>
          <w:sz w:val="26"/>
          <w:szCs w:val="26"/>
        </w:rPr>
      </w:pPr>
      <w:r>
        <w:rPr>
          <w:rFonts w:hint="default" w:ascii="Times New Roman" w:hAnsi="Times New Roman" w:eastAsia="Calibri" w:cs="Times New Roman"/>
          <w:bCs/>
          <w:color w:val="auto"/>
          <w:sz w:val="26"/>
          <w:szCs w:val="26"/>
          <w:lang w:val="ru-RU"/>
        </w:rPr>
        <w:t xml:space="preserve">-</w:t>
      </w:r>
      <w:r>
        <w:rPr>
          <w:rFonts w:hint="default" w:ascii="Times New Roman" w:hAnsi="Times New Roman" w:eastAsia="Calibri" w:cs="Times New Roman"/>
          <w:bCs/>
          <w:color w:val="auto"/>
          <w:sz w:val="26"/>
          <w:szCs w:val="26"/>
        </w:rPr>
        <w:t xml:space="preserve">Проверка комплектности документов — 2,0 чел./час.</w:t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bCs/>
          <w:color w:val="auto"/>
          <w:sz w:val="26"/>
          <w:szCs w:val="26"/>
        </w:rPr>
      </w:pPr>
      <w:r>
        <w:rPr>
          <w:rFonts w:hint="default" w:ascii="Times New Roman" w:hAnsi="Times New Roman" w:eastAsia="Calibri" w:cs="Times New Roman"/>
          <w:bCs/>
          <w:color w:val="auto"/>
          <w:sz w:val="26"/>
          <w:szCs w:val="26"/>
          <w:lang w:val="ru-RU"/>
        </w:rPr>
        <w:t xml:space="preserve">-</w:t>
      </w:r>
      <w:r>
        <w:rPr>
          <w:rFonts w:hint="default" w:ascii="Times New Roman" w:hAnsi="Times New Roman" w:eastAsia="Calibri" w:cs="Times New Roman"/>
          <w:bCs/>
          <w:color w:val="auto"/>
          <w:sz w:val="26"/>
          <w:szCs w:val="26"/>
        </w:rPr>
        <w:t xml:space="preserve">Принятие решения и оформление ответа — 3,0 чел./час.</w:t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bCs/>
          <w:color w:val="auto"/>
          <w:sz w:val="26"/>
          <w:szCs w:val="26"/>
        </w:rPr>
      </w:pPr>
      <w:r>
        <w:rPr>
          <w:rFonts w:hint="default" w:ascii="Times New Roman" w:hAnsi="Times New Roman" w:eastAsia="Calibri" w:cs="Times New Roman"/>
          <w:bCs/>
          <w:color w:val="auto"/>
          <w:sz w:val="26"/>
          <w:szCs w:val="26"/>
          <w:lang w:val="ru-RU"/>
        </w:rPr>
        <w:t xml:space="preserve">-</w:t>
      </w:r>
      <w:r>
        <w:rPr>
          <w:rFonts w:hint="default" w:ascii="Times New Roman" w:hAnsi="Times New Roman" w:eastAsia="Calibri" w:cs="Times New Roman"/>
          <w:bCs/>
          <w:color w:val="auto"/>
          <w:sz w:val="26"/>
          <w:szCs w:val="26"/>
        </w:rPr>
        <w:t xml:space="preserve">Информирование заявителя — 0,5 чел./час.</w:t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bCs/>
          <w:color w:val="auto"/>
          <w:sz w:val="26"/>
          <w:szCs w:val="26"/>
        </w:rPr>
      </w:pPr>
      <w:r>
        <w:rPr>
          <w:rFonts w:hint="default" w:ascii="Times New Roman" w:hAnsi="Times New Roman" w:eastAsia="Calibri" w:cs="Times New Roman"/>
          <w:bCs/>
          <w:color w:val="auto"/>
          <w:sz w:val="26"/>
          <w:szCs w:val="26"/>
          <w:lang w:val="ru-RU"/>
        </w:rPr>
        <w:t xml:space="preserve">-</w:t>
      </w:r>
      <w:r>
        <w:rPr>
          <w:rFonts w:hint="default" w:ascii="Times New Roman" w:hAnsi="Times New Roman" w:eastAsia="Calibri" w:cs="Times New Roman"/>
          <w:bCs/>
          <w:color w:val="auto"/>
          <w:sz w:val="26"/>
          <w:szCs w:val="26"/>
        </w:rPr>
        <w:t xml:space="preserve">Выездная проверка (муниципальный контроль) — 4,0 чел./час.</w:t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bCs/>
          <w:color w:val="auto"/>
          <w:sz w:val="26"/>
          <w:szCs w:val="26"/>
        </w:rPr>
      </w:pPr>
      <w:r>
        <w:rPr>
          <w:rFonts w:hint="default" w:ascii="Times New Roman" w:hAnsi="Times New Roman" w:eastAsia="Calibri" w:cs="Times New Roman"/>
          <w:bCs/>
          <w:color w:val="auto"/>
          <w:sz w:val="26"/>
          <w:szCs w:val="26"/>
          <w:lang w:val="ru-RU"/>
        </w:rPr>
        <w:t xml:space="preserve">-</w:t>
      </w:r>
      <w:r>
        <w:rPr>
          <w:rFonts w:hint="default" w:ascii="Times New Roman" w:hAnsi="Times New Roman" w:eastAsia="Calibri" w:cs="Times New Roman"/>
          <w:bCs/>
          <w:color w:val="auto"/>
          <w:sz w:val="26"/>
          <w:szCs w:val="26"/>
        </w:rPr>
        <w:t xml:space="preserve">Подготовка уведомления об устранении нарушений — 1,5 чел./час.</w:t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bCs/>
          <w:color w:val="auto"/>
          <w:sz w:val="26"/>
          <w:szCs w:val="26"/>
        </w:rPr>
      </w:pPr>
      <w:r>
        <w:rPr>
          <w:rFonts w:hint="default" w:ascii="Times New Roman" w:hAnsi="Times New Roman" w:eastAsia="Calibri" w:cs="Times New Roman"/>
          <w:bCs/>
          <w:color w:val="auto"/>
          <w:sz w:val="26"/>
          <w:szCs w:val="26"/>
          <w:lang w:val="ru-RU"/>
        </w:rPr>
        <w:t xml:space="preserve">-</w:t>
      </w:r>
      <w:r>
        <w:rPr>
          <w:rFonts w:hint="default" w:ascii="Times New Roman" w:hAnsi="Times New Roman" w:eastAsia="Calibri" w:cs="Times New Roman"/>
          <w:bCs/>
          <w:color w:val="auto"/>
          <w:sz w:val="26"/>
          <w:szCs w:val="26"/>
        </w:rPr>
        <w:t xml:space="preserve">Принятие решения об исключении из схемы — 2,0 чел./час.</w:t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bCs/>
          <w:color w:val="auto"/>
          <w:sz w:val="26"/>
          <w:szCs w:val="26"/>
        </w:rPr>
      </w:pPr>
      <w:r>
        <w:rPr>
          <w:rFonts w:hint="default" w:ascii="Times New Roman" w:hAnsi="Times New Roman" w:eastAsia="Calibri" w:cs="Times New Roman"/>
          <w:bCs/>
          <w:color w:val="auto"/>
          <w:sz w:val="26"/>
          <w:szCs w:val="26"/>
          <w:lang w:val="ru-RU"/>
        </w:rPr>
        <w:t xml:space="preserve">4.6.3 </w:t>
      </w:r>
      <w:r>
        <w:rPr>
          <w:rFonts w:hint="default" w:ascii="Times New Roman" w:hAnsi="Times New Roman" w:eastAsia="Calibri" w:cs="Times New Roman"/>
          <w:bCs/>
          <w:color w:val="auto"/>
          <w:sz w:val="26"/>
          <w:szCs w:val="26"/>
        </w:rPr>
        <w:t xml:space="preserve">Итого дополнительных трудозатрат на одно муниципальное образование в год (расчет):</w:t>
      </w:r>
      <w:r/>
    </w:p>
    <w:tbl>
      <w:tblPr>
        <w:tblStyle w:val="67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927"/>
        <w:gridCol w:w="4927"/>
      </w:tblGrid>
      <w:tr>
        <w:trPr/>
        <w:tc>
          <w:tcPr>
            <w:tcW w:w="492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/>
                <w:color w:val="auto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auto"/>
                <w:lang w:val="en-US" w:eastAsia="zh-CN"/>
              </w:rPr>
              <w:t xml:space="preserve">Показатель</w:t>
            </w:r>
            <w:r/>
          </w:p>
        </w:tc>
        <w:tc>
          <w:tcPr>
            <w:tcW w:w="492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/>
                <w:color w:val="auto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auto"/>
                <w:lang w:val="en-US" w:eastAsia="zh-CN"/>
              </w:rPr>
              <w:t xml:space="preserve">Значение</w:t>
            </w:r>
            <w:r/>
          </w:p>
        </w:tc>
      </w:tr>
      <w:tr>
        <w:trPr/>
        <w:tc>
          <w:tcPr>
            <w:tcW w:w="4927" w:type="dxa"/>
            <w:vAlign w:val="center"/>
            <w:textDirection w:val="lrTb"/>
            <w:noWrap w:val="false"/>
          </w:tcPr>
          <w:p>
            <w:pPr>
              <w:jc w:val="left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ru-RU" w:eastAsia="zh-CN"/>
              </w:rPr>
            </w:pPr>
            <w:r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en-US" w:eastAsia="zh-CN"/>
              </w:rPr>
              <w:t xml:space="preserve">Количество заявителей в год (оценка)</w:t>
            </w:r>
            <w:r/>
          </w:p>
        </w:tc>
        <w:tc>
          <w:tcPr>
            <w:tcW w:w="4927" w:type="dxa"/>
            <w:vAlign w:val="center"/>
            <w:textDirection w:val="lrTb"/>
            <w:noWrap w:val="false"/>
          </w:tcPr>
          <w:p>
            <w:pPr>
              <w:jc w:val="left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ru-RU" w:eastAsia="zh-CN"/>
              </w:rPr>
            </w:pPr>
            <w:r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en-US" w:eastAsia="zh-CN"/>
              </w:rPr>
              <w:t xml:space="preserve">30 субъектов</w:t>
            </w:r>
            <w:r/>
          </w:p>
        </w:tc>
      </w:tr>
      <w:tr>
        <w:trPr/>
        <w:tc>
          <w:tcPr>
            <w:tcW w:w="4927" w:type="dxa"/>
            <w:vAlign w:val="center"/>
            <w:textDirection w:val="lrTb"/>
            <w:noWrap w:val="false"/>
          </w:tcPr>
          <w:p>
            <w:pPr>
              <w:jc w:val="left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ru-RU" w:eastAsia="zh-CN"/>
              </w:rPr>
            </w:pPr>
            <w:r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en-US" w:eastAsia="zh-CN"/>
              </w:rPr>
              <w:t xml:space="preserve">Количество проверок в год (оценка)</w:t>
            </w:r>
            <w:r/>
          </w:p>
        </w:tc>
        <w:tc>
          <w:tcPr>
            <w:tcW w:w="4927" w:type="dxa"/>
            <w:vAlign w:val="center"/>
            <w:textDirection w:val="lrTb"/>
            <w:noWrap w:val="false"/>
          </w:tcPr>
          <w:p>
            <w:pPr>
              <w:jc w:val="left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ru-RU" w:eastAsia="zh-CN"/>
              </w:rPr>
            </w:pPr>
            <w:r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en-US" w:eastAsia="zh-CN"/>
              </w:rPr>
              <w:t xml:space="preserve">10 проверок</w:t>
            </w:r>
            <w:r/>
          </w:p>
        </w:tc>
      </w:tr>
      <w:tr>
        <w:trPr/>
        <w:tc>
          <w:tcPr>
            <w:tcW w:w="4927" w:type="dxa"/>
            <w:vAlign w:val="center"/>
            <w:textDirection w:val="lrTb"/>
            <w:noWrap w:val="false"/>
          </w:tcPr>
          <w:p>
            <w:pPr>
              <w:jc w:val="left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ru-RU" w:eastAsia="zh-CN"/>
              </w:rPr>
            </w:pPr>
            <w:r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en-US" w:eastAsia="zh-CN"/>
              </w:rPr>
              <w:t xml:space="preserve">Количество исключений в год (оценка)</w:t>
            </w:r>
            <w:r/>
          </w:p>
        </w:tc>
        <w:tc>
          <w:tcPr>
            <w:tcW w:w="4927" w:type="dxa"/>
            <w:vAlign w:val="center"/>
            <w:textDirection w:val="lrTb"/>
            <w:noWrap w:val="false"/>
          </w:tcPr>
          <w:p>
            <w:pPr>
              <w:jc w:val="left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ru-RU" w:eastAsia="zh-CN"/>
              </w:rPr>
            </w:pPr>
            <w:r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en-US" w:eastAsia="zh-CN"/>
              </w:rPr>
              <w:t xml:space="preserve">5 случаев</w:t>
            </w:r>
            <w:r/>
          </w:p>
        </w:tc>
      </w:tr>
      <w:tr>
        <w:trPr/>
        <w:tc>
          <w:tcPr>
            <w:tcW w:w="4927" w:type="dxa"/>
            <w:vAlign w:val="center"/>
            <w:textDirection w:val="lrTb"/>
            <w:noWrap w:val="false"/>
          </w:tcPr>
          <w:p>
            <w:pPr>
              <w:jc w:val="left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ru-RU" w:eastAsia="zh-CN"/>
              </w:rPr>
            </w:pPr>
            <w:r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en-US" w:eastAsia="zh-CN"/>
              </w:rPr>
              <w:t xml:space="preserve">Суммарные годовые трудозатраты</w:t>
            </w:r>
            <w:r/>
          </w:p>
        </w:tc>
        <w:tc>
          <w:tcPr>
            <w:tcW w:w="4927" w:type="dxa"/>
            <w:vAlign w:val="center"/>
            <w:textDirection w:val="lrTb"/>
            <w:noWrap w:val="false"/>
          </w:tcPr>
          <w:p>
            <w:pPr>
              <w:jc w:val="left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ru-RU" w:eastAsia="zh-CN"/>
              </w:rPr>
            </w:pPr>
            <w:r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en-US" w:eastAsia="zh-CN"/>
              </w:rPr>
              <w:t xml:space="preserve">~237,5 чел./час</w:t>
            </w:r>
            <w:r/>
          </w:p>
        </w:tc>
      </w:tr>
      <w:tr>
        <w:trPr/>
        <w:tc>
          <w:tcPr>
            <w:tcW w:w="4927" w:type="dxa"/>
            <w:vAlign w:val="center"/>
            <w:textDirection w:val="lrTb"/>
            <w:noWrap w:val="false"/>
          </w:tcPr>
          <w:p>
            <w:pPr>
              <w:jc w:val="left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ru-RU" w:eastAsia="zh-CN"/>
              </w:rPr>
            </w:pPr>
            <w:r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en-US" w:eastAsia="zh-CN"/>
              </w:rPr>
              <w:t xml:space="preserve">В пересчете на одного специалиста</w:t>
            </w:r>
            <w:r/>
          </w:p>
        </w:tc>
        <w:tc>
          <w:tcPr>
            <w:tcW w:w="4927" w:type="dxa"/>
            <w:vAlign w:val="center"/>
            <w:textDirection w:val="lrTb"/>
            <w:noWrap w:val="false"/>
          </w:tcPr>
          <w:p>
            <w:pPr>
              <w:jc w:val="left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ru-RU" w:eastAsia="zh-CN"/>
              </w:rPr>
            </w:pPr>
            <w:r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en-US" w:eastAsia="zh-CN"/>
              </w:rPr>
              <w:t xml:space="preserve">~1 месяц работы (при 40-часовой неделе)</w:t>
            </w:r>
            <w:r/>
          </w:p>
        </w:tc>
      </w:tr>
    </w:tbl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bCs/>
          <w:color w:val="auto"/>
          <w:sz w:val="26"/>
          <w:szCs w:val="26"/>
          <w:lang w:val="ru-RU" w:eastAsia="zh-CN"/>
        </w:rPr>
      </w:pPr>
      <w:r>
        <w:rPr>
          <w:rFonts w:hint="default" w:ascii="Times New Roman" w:hAnsi="Times New Roman" w:eastAsia="Calibri" w:cs="Times New Roman"/>
          <w:bCs/>
          <w:color w:val="auto"/>
          <w:sz w:val="26"/>
          <w:szCs w:val="26"/>
          <w:lang w:val="ru-RU"/>
        </w:rPr>
        <w:t xml:space="preserve">4.6.4 </w:t>
      </w:r>
      <w:r>
        <w:rPr>
          <w:rFonts w:hint="default" w:ascii="Times New Roman" w:hAnsi="Times New Roman" w:eastAsia="Calibri" w:cs="Times New Roman"/>
          <w:bCs/>
          <w:color w:val="auto"/>
          <w:sz w:val="26"/>
          <w:szCs w:val="26"/>
          <w:lang w:val="ru-RU" w:eastAsia="zh-CN"/>
        </w:rPr>
        <w:t xml:space="preserve">Потребности в иных ресурсах:</w:t>
      </w:r>
      <w:r/>
    </w:p>
    <w:tbl>
      <w:tblPr>
        <w:tblStyle w:val="67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520"/>
        <w:gridCol w:w="6334"/>
      </w:tblGrid>
      <w:tr>
        <w:trPr/>
        <w:tc>
          <w:tcPr>
            <w:tcW w:w="352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/>
                <w:color w:val="auto"/>
                <w:lang w:val="ru-RU" w:eastAsia="zh-CN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auto"/>
                <w:lang w:val="ru-RU" w:eastAsia="zh-CN"/>
              </w:rPr>
              <w:t xml:space="preserve">Вид ресурса</w:t>
            </w:r>
            <w:r/>
          </w:p>
        </w:tc>
        <w:tc>
          <w:tcPr>
            <w:tcW w:w="633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/>
                <w:color w:val="auto"/>
                <w:lang w:val="ru-RU" w:eastAsia="zh-CN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auto"/>
                <w:lang w:val="ru-RU" w:eastAsia="zh-CN"/>
              </w:rPr>
              <w:t xml:space="preserve">Изменение</w:t>
            </w:r>
            <w:r/>
          </w:p>
        </w:tc>
      </w:tr>
      <w:tr>
        <w:trPr/>
        <w:tc>
          <w:tcPr>
            <w:tcW w:w="3520" w:type="dxa"/>
            <w:vAlign w:val="top"/>
            <w:textDirection w:val="lrTb"/>
            <w:noWrap w:val="false"/>
          </w:tcPr>
          <w:p>
            <w:pPr>
              <w:jc w:val="left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ru-RU" w:eastAsia="zh-CN"/>
              </w:rPr>
            </w:pPr>
            <w:r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ru-RU" w:eastAsia="zh-CN"/>
              </w:rPr>
              <w:t xml:space="preserve">Кадровые</w:t>
            </w:r>
            <w:r/>
          </w:p>
        </w:tc>
        <w:tc>
          <w:tcPr>
            <w:tcW w:w="6334" w:type="dxa"/>
            <w:vAlign w:val="top"/>
            <w:textDirection w:val="lrTb"/>
            <w:noWrap w:val="false"/>
          </w:tcPr>
          <w:p>
            <w:pPr>
              <w:jc w:val="both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ru-RU" w:eastAsia="zh-CN"/>
              </w:rPr>
            </w:pPr>
            <w:r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ru-RU" w:eastAsia="zh-CN"/>
              </w:rPr>
              <w:t xml:space="preserve">Нагрузка распределяется в пределах существующей штатной численности. Новые ставки не вводятся.</w:t>
            </w:r>
            <w:r/>
          </w:p>
        </w:tc>
      </w:tr>
      <w:tr>
        <w:trPr/>
        <w:tc>
          <w:tcPr>
            <w:tcW w:w="3520" w:type="dxa"/>
            <w:vAlign w:val="top"/>
            <w:textDirection w:val="lrTb"/>
            <w:noWrap w:val="false"/>
          </w:tcPr>
          <w:p>
            <w:pPr>
              <w:jc w:val="left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ru-RU" w:eastAsia="zh-CN"/>
              </w:rPr>
            </w:pPr>
            <w:r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ru-RU" w:eastAsia="zh-CN"/>
              </w:rPr>
              <w:t xml:space="preserve">Материально-технические</w:t>
            </w:r>
            <w:r/>
          </w:p>
        </w:tc>
        <w:tc>
          <w:tcPr>
            <w:tcW w:w="6334" w:type="dxa"/>
            <w:vAlign w:val="top"/>
            <w:textDirection w:val="lrTb"/>
            <w:noWrap w:val="false"/>
          </w:tcPr>
          <w:p>
            <w:pPr>
              <w:jc w:val="both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ru-RU" w:eastAsia="zh-CN"/>
              </w:rPr>
            </w:pPr>
            <w:r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ru-RU" w:eastAsia="zh-CN"/>
              </w:rPr>
              <w:t xml:space="preserve">Существенного увеличения не требуется. Возможна донастройка ПО для учета заявлений.</w:t>
            </w:r>
            <w:r/>
          </w:p>
        </w:tc>
      </w:tr>
      <w:tr>
        <w:trPr/>
        <w:tc>
          <w:tcPr>
            <w:tcW w:w="3520" w:type="dxa"/>
            <w:vAlign w:val="top"/>
            <w:textDirection w:val="lrTb"/>
            <w:noWrap w:val="false"/>
          </w:tcPr>
          <w:p>
            <w:pPr>
              <w:jc w:val="left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ru-RU" w:eastAsia="zh-CN"/>
              </w:rPr>
            </w:pPr>
            <w:r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ru-RU" w:eastAsia="zh-CN"/>
              </w:rPr>
              <w:t xml:space="preserve">Бюджетные расходы</w:t>
            </w:r>
            <w:r/>
          </w:p>
        </w:tc>
        <w:tc>
          <w:tcPr>
            <w:tcW w:w="6334" w:type="dxa"/>
            <w:vAlign w:val="top"/>
            <w:textDirection w:val="lrTb"/>
            <w:noWrap w:val="false"/>
          </w:tcPr>
          <w:p>
            <w:pPr>
              <w:jc w:val="both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ru-RU" w:eastAsia="zh-CN"/>
              </w:rPr>
            </w:pPr>
            <w:r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ru-RU" w:eastAsia="zh-CN"/>
              </w:rPr>
              <w:t xml:space="preserve">Дополнительные ассигнования не потребуются (функции выполняются в рамках текущего финансирования).</w:t>
            </w:r>
            <w:r/>
          </w:p>
        </w:tc>
      </w:tr>
      <w:tr>
        <w:trPr/>
        <w:tc>
          <w:tcPr>
            <w:tcW w:w="3520" w:type="dxa"/>
            <w:vAlign w:val="top"/>
            <w:textDirection w:val="lrTb"/>
            <w:noWrap w:val="false"/>
          </w:tcPr>
          <w:p>
            <w:pPr>
              <w:jc w:val="left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ru-RU" w:eastAsia="zh-CN"/>
              </w:rPr>
            </w:pPr>
            <w:r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ru-RU" w:eastAsia="zh-CN"/>
              </w:rPr>
              <w:t xml:space="preserve">Методические</w:t>
            </w:r>
            <w:r/>
          </w:p>
        </w:tc>
        <w:tc>
          <w:tcPr>
            <w:tcW w:w="6334" w:type="dxa"/>
            <w:vAlign w:val="top"/>
            <w:textDirection w:val="lrTb"/>
            <w:noWrap w:val="false"/>
          </w:tcPr>
          <w:p>
            <w:pPr>
              <w:jc w:val="left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ru-RU" w:eastAsia="zh-CN"/>
              </w:rPr>
            </w:pPr>
            <w:r>
              <w:rPr>
                <w:rFonts w:hint="default" w:ascii="Times New Roman" w:hAnsi="Times New Roman" w:eastAsia="Calibri" w:cs="Times New Roman"/>
                <w:bCs/>
                <w:i w:val="0"/>
                <w:iCs w:val="0"/>
                <w:color w:val="auto"/>
                <w:sz w:val="22"/>
                <w:szCs w:val="22"/>
                <w:lang w:val="ru-RU" w:eastAsia="zh-CN"/>
              </w:rPr>
              <w:t xml:space="preserve">Рекомендуется разработка методических рекомендаций для органов МСУ.</w:t>
            </w:r>
            <w:r/>
          </w:p>
        </w:tc>
      </w:tr>
    </w:tbl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bCs/>
          <w:color w:val="auto"/>
          <w:sz w:val="26"/>
          <w:szCs w:val="26"/>
          <w:lang w:val="ru-RU"/>
        </w:rPr>
      </w:pPr>
      <w:r>
        <w:rPr>
          <w:rFonts w:hint="default" w:ascii="Times New Roman" w:hAnsi="Times New Roman" w:eastAsia="Calibri" w:cs="Times New Roman"/>
          <w:bCs/>
          <w:color w:val="auto"/>
          <w:sz w:val="26"/>
          <w:szCs w:val="26"/>
        </w:rPr>
        <w:t xml:space="preserve">4.7. Оценка расходов (возможных поступлений) консолидированного бюджета Белгородской области</w:t>
      </w:r>
      <w:r>
        <w:rPr>
          <w:rFonts w:hint="default" w:ascii="Times New Roman" w:hAnsi="Times New Roman" w:eastAsia="Calibri" w:cs="Times New Roman"/>
          <w:bCs/>
          <w:color w:val="auto"/>
          <w:sz w:val="26"/>
          <w:szCs w:val="26"/>
          <w:lang w:val="ru-RU"/>
        </w:rPr>
        <w:t xml:space="preserve">:</w:t>
      </w:r>
      <w:r/>
    </w:p>
    <w:tbl>
      <w:tblPr>
        <w:tblStyle w:val="645"/>
        <w:tblpPr w:horzAnchor="margin" w:tblpXSpec="left" w:vertAnchor="text" w:tblpY="58" w:leftFromText="180" w:topFromText="0" w:rightFromText="180" w:bottomFromText="0"/>
        <w:tblW w:w="9667" w:type="dxa"/>
        <w:tblInd w:w="-5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3288"/>
        <w:gridCol w:w="4111"/>
        <w:gridCol w:w="2268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8" w:type="dxa"/>
            <w:textDirection w:val="lrTb"/>
            <w:noWrap w:val="false"/>
          </w:tcPr>
          <w:p>
            <w:pPr>
              <w:ind w:right="57"/>
              <w:jc w:val="center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  <w:t xml:space="preserve">Описание новых или изменения существующих функций, полномочий, обязанностей или прав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textDirection w:val="lrTb"/>
            <w:noWrap w:val="false"/>
          </w:tcPr>
          <w:p>
            <w:pPr>
              <w:ind w:right="57"/>
              <w:jc w:val="center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  <w:t xml:space="preserve">Описание видов расходов (возможных поступлений) консолидированного бюджета Белгородской области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right="57"/>
              <w:jc w:val="center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  <w:t xml:space="preserve">Количественная оценка расходов и возможных поступлений,</w:t>
            </w:r>
            <w:r/>
          </w:p>
          <w:p>
            <w:pPr>
              <w:ind w:right="57"/>
              <w:jc w:val="center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  <w:t xml:space="preserve">тыс. руб.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8" w:type="dxa"/>
            <w:textDirection w:val="lrTb"/>
            <w:noWrap w:val="false"/>
          </w:tcPr>
          <w:p>
            <w:pPr>
              <w:ind w:right="-28"/>
              <w:jc w:val="both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lang w:val="ru-RU"/>
              </w:rPr>
              <w:t xml:space="preserve">Органы местного самоуправления муниципальных образований Белгородской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textDirection w:val="lrTb"/>
            <w:noWrap w:val="false"/>
          </w:tcPr>
          <w:p>
            <w:pPr>
              <w:ind w:right="-28"/>
              <w:jc w:val="both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lang w:val="ru-RU"/>
              </w:rPr>
              <w:t xml:space="preserve">Расходов (дополнительных поступлений) консолидированного бюджета Белгородской области не предусмотрено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firstLine="709"/>
              <w:jc w:val="both"/>
              <w:spacing w:before="0" w:after="0" w:line="240" w:lineRule="auto"/>
              <w:rPr>
                <w:rFonts w:hint="default" w:ascii="Times New Roman" w:hAnsi="Times New Roman" w:eastAsia="Calibri" w:cs="Times New Roman"/>
                <w:bCs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6"/>
                <w:szCs w:val="26"/>
              </w:rPr>
              <w:t xml:space="preserve">-</w:t>
            </w:r>
            <w:r/>
          </w:p>
        </w:tc>
      </w:tr>
    </w:tbl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bCs/>
          <w:color w:val="auto"/>
          <w:sz w:val="26"/>
          <w:szCs w:val="26"/>
          <w:lang w:eastAsia="ru-RU"/>
        </w:rPr>
      </w:pPr>
      <w:r>
        <w:rPr>
          <w:rFonts w:hint="default" w:ascii="Times New Roman" w:hAnsi="Times New Roman" w:eastAsia="Calibri" w:cs="Times New Roman"/>
          <w:bCs/>
          <w:color w:val="auto"/>
          <w:sz w:val="26"/>
          <w:szCs w:val="26"/>
          <w:lang w:eastAsia="ru-RU"/>
        </w:rPr>
        <w:t xml:space="preserve">4.8. Информация о наличии или отсутствии в проекте нормативного правового акта обязательных требований: </w:t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bCs/>
          <w:color w:val="auto"/>
          <w:sz w:val="26"/>
          <w:szCs w:val="26"/>
          <w:lang w:val="en-US" w:eastAsia="ru-RU"/>
        </w:rPr>
      </w:pPr>
      <w:r>
        <w:rPr>
          <w:rFonts w:hint="default" w:ascii="Times New Roman" w:hAnsi="Times New Roman" w:eastAsia="Calibri" w:cs="Times New Roman"/>
          <w:bCs/>
          <w:color w:val="auto"/>
          <w:sz w:val="26"/>
          <w:szCs w:val="26"/>
          <w:lang w:val="en-US" w:eastAsia="ru-RU"/>
        </w:rPr>
        <w:t xml:space="preserve">Проект постановления вводит новые </w:t>
      </w:r>
      <w:r>
        <w:rPr>
          <w:rFonts w:hint="default" w:ascii="Times New Roman" w:hAnsi="Times New Roman" w:eastAsia="Calibri" w:cs="Times New Roman"/>
          <w:bCs/>
          <w:color w:val="auto"/>
          <w:sz w:val="26"/>
          <w:szCs w:val="26"/>
          <w:lang w:val="en-US" w:eastAsia="ru-RU"/>
        </w:rPr>
        <w:t xml:space="preserve">обязательные требования, которые ранее не были установлены, а именно обязанность для владельцев НТО на частных земельных участках пройти процедуру включения в схему размещения и соблюдать архитектурные и иные требования. Однако проект не вводит новых видов</w:t>
      </w:r>
      <w:r>
        <w:rPr>
          <w:rFonts w:hint="default" w:ascii="Times New Roman" w:hAnsi="Times New Roman" w:eastAsia="Calibri" w:cs="Times New Roman"/>
          <w:bCs/>
          <w:color w:val="auto"/>
          <w:sz w:val="26"/>
          <w:szCs w:val="26"/>
          <w:lang w:val="en-US" w:eastAsia="ru-RU"/>
        </w:rPr>
        <w:t xml:space="preserve"> юридической ответственности; последствия за несоблюдение требований уже предусмотрены действующим законодательством (исключение из схемы, демонтаж). Указанные требования являются обязательными в силу прямого указания в проекте нормативного правового акта.</w:t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b/>
          <w:bCs w:val="0"/>
          <w:color w:val="auto"/>
          <w:sz w:val="26"/>
          <w:szCs w:val="26"/>
        </w:rPr>
      </w:pPr>
      <w:r>
        <w:rPr>
          <w:rFonts w:hint="default" w:ascii="Times New Roman" w:hAnsi="Times New Roman" w:eastAsia="Calibri" w:cs="Times New Roman"/>
          <w:b/>
          <w:bCs w:val="0"/>
          <w:color w:val="auto"/>
          <w:sz w:val="26"/>
          <w:szCs w:val="26"/>
        </w:rPr>
        <w:t xml:space="preserve">5. Риски решения проблемы предложенным способом правового регулирования и риски негативных последствий, в том числе для конкуренции, а также описание методов контроля эффективности избранного способа достижения целей регулирования:</w:t>
      </w:r>
      <w:r/>
    </w:p>
    <w:tbl>
      <w:tblPr>
        <w:tblStyle w:val="645"/>
        <w:tblpPr w:horzAnchor="margin" w:tblpXSpec="left" w:vertAnchor="text" w:tblpY="189" w:leftFromText="180" w:topFromText="0" w:rightFromText="180" w:bottomFromText="0"/>
        <w:tblW w:w="9667" w:type="dxa"/>
        <w:tblInd w:w="-5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3080"/>
        <w:gridCol w:w="3375"/>
        <w:gridCol w:w="3212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0" w:type="dxa"/>
            <w:textDirection w:val="lrTb"/>
            <w:noWrap w:val="false"/>
          </w:tcPr>
          <w:p>
            <w:pPr>
              <w:ind w:right="57"/>
              <w:jc w:val="center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  <w:t xml:space="preserve">Риски решения проблемы предложенным способом </w:t>
            </w:r>
            <w:r/>
          </w:p>
          <w:p>
            <w:pPr>
              <w:ind w:right="57"/>
              <w:jc w:val="center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  <w:t xml:space="preserve">и риски негативных последствий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5" w:type="dxa"/>
            <w:textDirection w:val="lrTb"/>
            <w:noWrap w:val="false"/>
          </w:tcPr>
          <w:p>
            <w:pPr>
              <w:ind w:right="57"/>
              <w:jc w:val="center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  <w:t xml:space="preserve">Оценка вероятности наступления рисков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12" w:type="dxa"/>
            <w:textDirection w:val="lrTb"/>
            <w:noWrap w:val="false"/>
          </w:tcPr>
          <w:p>
            <w:pPr>
              <w:ind w:right="57"/>
              <w:jc w:val="center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  <w:t xml:space="preserve">Методы контроля эффективности избранного способа достижения целей регулирования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0" w:type="dxa"/>
            <w:textDirection w:val="lrTb"/>
            <w:noWrap w:val="false"/>
          </w:tcPr>
          <w:p>
            <w:pPr>
              <w:ind w:left="142" w:right="48" w:firstLine="0"/>
              <w:jc w:val="both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lang w:val="ru-RU"/>
              </w:rPr>
              <w:t xml:space="preserve">Риск увеличения издержек для малого бизнеса: для некоторых предпринимателей (особенно для самозанятых) новые требования и связанные с ними расходы (особенно на приведение архитектурного облика) могут быть значительными.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5" w:type="dxa"/>
            <w:textDirection w:val="lrTb"/>
            <w:noWrap w:val="false"/>
          </w:tcPr>
          <w:p>
            <w:pPr>
              <w:ind w:left="142" w:right="59" w:firstLine="0"/>
              <w:jc w:val="both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lang w:val="ru-RU"/>
              </w:rPr>
              <w:t xml:space="preserve">Риск увеличения издержек: средняя. </w:t>
            </w:r>
            <w:r/>
          </w:p>
          <w:p>
            <w:pPr>
              <w:ind w:left="142" w:right="59" w:firstLine="0"/>
              <w:jc w:val="both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lang w:val="ru-RU"/>
              </w:rPr>
              <w:t xml:space="preserve">Вероятность снижается благодаря переходному периоду (3 месяца) и тому, что некоторые объекты уже могут соответствовать требованиям.</w:t>
            </w:r>
            <w:r/>
          </w:p>
          <w:p>
            <w:pPr>
              <w:ind w:left="142" w:right="59" w:firstLine="0"/>
              <w:jc w:val="center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212" w:type="dxa"/>
            <w:vMerge w:val="restart"/>
            <w:textDirection w:val="lrTb"/>
            <w:noWrap w:val="false"/>
          </w:tcPr>
          <w:p>
            <w:pPr>
              <w:ind w:left="142" w:right="38" w:firstLine="0"/>
              <w:jc w:val="both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lang w:val="ru-RU"/>
              </w:rPr>
              <w:t xml:space="preserve">Мониторинг жалоб граждан на деятельность НТО (их количество и динамика).</w:t>
            </w:r>
            <w:r/>
          </w:p>
          <w:p>
            <w:pPr>
              <w:ind w:left="142" w:right="38" w:firstLine="0"/>
              <w:jc w:val="both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lang w:val="ru-RU"/>
              </w:rPr>
            </w:r>
            <w:r/>
          </w:p>
          <w:p>
            <w:pPr>
              <w:ind w:left="142" w:right="38" w:firstLine="0"/>
              <w:jc w:val="both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lang w:val="ru-RU"/>
              </w:rPr>
            </w:r>
            <w:r/>
          </w:p>
          <w:p>
            <w:pPr>
              <w:ind w:left="142" w:right="38" w:firstLine="0"/>
              <w:jc w:val="both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lang w:val="ru-RU"/>
              </w:rPr>
              <w:t xml:space="preserve">Мониторинг количества НТО, включенных в схемы размещения (в том числе на частной земле).</w:t>
            </w:r>
            <w:r/>
          </w:p>
          <w:p>
            <w:pPr>
              <w:ind w:left="142" w:right="38" w:firstLine="0"/>
              <w:jc w:val="both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lang w:val="ru-RU"/>
              </w:rPr>
            </w:r>
            <w:r/>
          </w:p>
          <w:p>
            <w:pPr>
              <w:ind w:left="142" w:right="38" w:firstLine="0"/>
              <w:jc w:val="both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lang w:val="ru-RU"/>
              </w:rPr>
            </w:r>
            <w:r/>
          </w:p>
          <w:p>
            <w:pPr>
              <w:ind w:left="142" w:right="38" w:firstLine="0"/>
              <w:jc w:val="both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lang w:val="ru-RU"/>
              </w:rPr>
              <w:t xml:space="preserve">Оценку результатов муниципального контроля за соблюдением требований к размещению НТО.</w:t>
            </w:r>
            <w:r/>
          </w:p>
          <w:p>
            <w:pPr>
              <w:ind w:left="142" w:right="38" w:firstLine="0"/>
              <w:jc w:val="both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lang w:val="ru-RU"/>
              </w:rPr>
            </w:r>
            <w:r/>
          </w:p>
          <w:p>
            <w:pPr>
              <w:ind w:left="142" w:right="38" w:firstLine="0"/>
              <w:jc w:val="both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lang w:val="ru-RU"/>
              </w:rPr>
            </w:r>
            <w:r/>
          </w:p>
          <w:p>
            <w:pPr>
              <w:ind w:left="142" w:right="38" w:firstLine="0"/>
              <w:jc w:val="both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lang w:val="ru-RU"/>
              </w:rPr>
              <w:t xml:space="preserve">Анализ обращений предпринимателей о сложностях, возникающих при включении в схему.</w:t>
            </w:r>
            <w:r/>
          </w:p>
          <w:p>
            <w:pPr>
              <w:ind w:right="57"/>
              <w:jc w:val="center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0" w:type="dxa"/>
            <w:textDirection w:val="lrTb"/>
            <w:noWrap w:val="false"/>
          </w:tcPr>
          <w:p>
            <w:pPr>
              <w:ind w:left="142" w:right="48" w:firstLine="0"/>
              <w:jc w:val="both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lang w:val="ru-RU"/>
              </w:rPr>
              <w:t xml:space="preserve">Риск «перекосов» в конкуренции: возможны ситуации, когда муниципальные требования будут чрезмерно жесткими, что может привести к вытеснению малого бизнеса с рынка.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5" w:type="dxa"/>
            <w:textDirection w:val="lrTb"/>
            <w:noWrap w:val="false"/>
          </w:tcPr>
          <w:p>
            <w:pPr>
              <w:ind w:left="142" w:right="59" w:firstLine="0"/>
              <w:jc w:val="both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lang w:val="ru-RU"/>
              </w:rPr>
              <w:t xml:space="preserve">Риск «перекосов» в конкуренции: низкая. Требования едины для всех, а 60% мест в схеме гарантированно отводится малому и среднему бизнесу (п. 8).</w:t>
            </w:r>
            <w:r/>
          </w:p>
          <w:p>
            <w:pPr>
              <w:ind w:left="142" w:right="59" w:firstLine="0"/>
              <w:jc w:val="center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212" w:type="dxa"/>
            <w:vMerge w:val="continue"/>
            <w:textDirection w:val="lrTb"/>
            <w:noWrap w:val="false"/>
          </w:tcPr>
          <w:p>
            <w:pPr>
              <w:ind w:right="57"/>
              <w:jc w:val="center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0" w:type="dxa"/>
            <w:textDirection w:val="lrTb"/>
            <w:noWrap w:val="false"/>
          </w:tcPr>
          <w:p>
            <w:pPr>
              <w:ind w:left="142" w:right="48" w:firstLine="0"/>
              <w:jc w:val="both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lang w:val="ru-RU"/>
              </w:rPr>
              <w:t xml:space="preserve">Риск бюрократических барьеров: процедура подачи заявления и сбора документов может быть воспринята как излишняя административная нагрузка, если она не будет четко и прозрачно организована на местах.</w:t>
            </w:r>
            <w:r/>
          </w:p>
          <w:p>
            <w:pPr>
              <w:ind w:left="142" w:right="48" w:firstLine="0"/>
              <w:jc w:val="both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lang w:val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5" w:type="dxa"/>
            <w:textDirection w:val="lrTb"/>
            <w:noWrap w:val="false"/>
          </w:tcPr>
          <w:p>
            <w:pPr>
              <w:ind w:left="142" w:right="59" w:firstLine="0"/>
              <w:jc w:val="both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lang w:val="ru-RU"/>
              </w:rPr>
              <w:t xml:space="preserve">Риск бюрократических барьеров: средняя. Зависит от качества работы органов МСУ. Снижается за счет установления четких сроков (30 дней на решение).</w:t>
            </w:r>
            <w:r/>
          </w:p>
          <w:p>
            <w:pPr>
              <w:ind w:left="142" w:right="59" w:firstLine="0"/>
              <w:jc w:val="center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212" w:type="dxa"/>
            <w:vMerge w:val="continue"/>
            <w:textDirection w:val="lrTb"/>
            <w:noWrap w:val="false"/>
          </w:tcPr>
          <w:p>
            <w:pPr>
              <w:ind w:right="57"/>
              <w:jc w:val="center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0" w:type="dxa"/>
            <w:textDirection w:val="lrTb"/>
            <w:noWrap w:val="false"/>
          </w:tcPr>
          <w:p>
            <w:pPr>
              <w:ind w:left="142" w:right="48" w:firstLine="0"/>
              <w:jc w:val="both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lang w:val="ru-RU"/>
              </w:rPr>
              <w:t xml:space="preserve">Риск недобросовестного поведения: часть предпринимателей может попытаться уйти от регулирования, что приведет к «теневому» размещению НТО и росту нарушений.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5" w:type="dxa"/>
            <w:textDirection w:val="lrTb"/>
            <w:noWrap w:val="false"/>
          </w:tcPr>
          <w:p>
            <w:pPr>
              <w:ind w:left="142" w:right="59" w:firstLine="0"/>
              <w:jc w:val="both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lang w:val="ru-RU"/>
              </w:rPr>
              <w:t xml:space="preserve">Риск недобросовестного поведения: высокая. Вероятность ухода в «тень» существует всегда и может быть снижена только эффективным муниципальным контролем.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12" w:type="dxa"/>
            <w:vMerge w:val="continue"/>
            <w:textDirection w:val="lrTb"/>
            <w:noWrap w:val="false"/>
          </w:tcPr>
          <w:p>
            <w:pPr>
              <w:ind w:right="57"/>
              <w:jc w:val="center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</w:r>
            <w:r/>
          </w:p>
        </w:tc>
      </w:tr>
    </w:tbl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bCs/>
          <w:color w:val="auto"/>
          <w:sz w:val="26"/>
          <w:szCs w:val="26"/>
        </w:rPr>
      </w:pPr>
      <w:r>
        <w:rPr>
          <w:rFonts w:hint="default" w:ascii="Times New Roman" w:hAnsi="Times New Roman" w:eastAsia="Calibri" w:cs="Times New Roman"/>
          <w:bCs/>
          <w:color w:val="auto"/>
          <w:sz w:val="26"/>
          <w:szCs w:val="26"/>
        </w:rPr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b/>
          <w:bCs w:val="0"/>
          <w:color w:val="auto"/>
          <w:sz w:val="26"/>
          <w:szCs w:val="26"/>
          <w:highlight w:val="none"/>
        </w:rPr>
      </w:pPr>
      <w:r>
        <w:rPr>
          <w:rFonts w:hint="default" w:ascii="Times New Roman" w:hAnsi="Times New Roman" w:eastAsia="Calibri" w:cs="Times New Roman"/>
          <w:b/>
          <w:bCs w:val="0"/>
          <w:color w:val="auto"/>
          <w:sz w:val="26"/>
          <w:szCs w:val="26"/>
        </w:rPr>
        <w:t xml:space="preserve">6. Необходимые для достижения заявленных целей регулирования организационно-технические, методологические, информационные и иные мероприятия:</w:t>
      </w:r>
      <w:r/>
    </w:p>
    <w:tbl>
      <w:tblPr>
        <w:tblStyle w:val="645"/>
        <w:tblW w:w="9667" w:type="dxa"/>
        <w:tblInd w:w="0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2971"/>
        <w:gridCol w:w="2089"/>
        <w:gridCol w:w="2023"/>
        <w:gridCol w:w="1276"/>
        <w:gridCol w:w="1308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textDirection w:val="lrTb"/>
            <w:noWrap w:val="false"/>
          </w:tcPr>
          <w:p>
            <w:pPr>
              <w:jc w:val="center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  <w:t xml:space="preserve">Мероприятия, необходимые для достижения целей регулирования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9" w:type="dxa"/>
            <w:textDirection w:val="lrTb"/>
            <w:noWrap w:val="false"/>
          </w:tcPr>
          <w:p>
            <w:pPr>
              <w:jc w:val="center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  <w:t xml:space="preserve">Сроки реализации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3" w:type="dxa"/>
            <w:textDirection w:val="lrTb"/>
            <w:noWrap w:val="false"/>
          </w:tcPr>
          <w:p>
            <w:pPr>
              <w:jc w:val="center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  <w:t xml:space="preserve">Описание ожидаемого результата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  <w:t xml:space="preserve">Объем финансирования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8" w:type="dxa"/>
            <w:textDirection w:val="lrTb"/>
            <w:noWrap w:val="false"/>
          </w:tcPr>
          <w:p>
            <w:pPr>
              <w:jc w:val="center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  <w:t xml:space="preserve">Источники финансирования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top"/>
            <w:textDirection w:val="lrTb"/>
            <w:noWrap w:val="false"/>
          </w:tcPr>
          <w:p>
            <w:pPr>
              <w:ind w:left="142" w:right="80" w:firstLine="0"/>
              <w:jc w:val="both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Разработка и утверждение муниципальных правовых актов, устанавливающих требования к архитектурному облику НТО и форму заявления.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9" w:type="dxa"/>
            <w:vAlign w:val="top"/>
            <w:textDirection w:val="lrTb"/>
            <w:noWrap w:val="false"/>
          </w:tcPr>
          <w:p>
            <w:pPr>
              <w:jc w:val="both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В течение 3 месяцев с момента вступления постановления в силу</w:t>
            </w: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lang w:val="ru-RU" w:eastAsia="zh-CN"/>
              </w:rPr>
              <w:t xml:space="preserve">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3" w:type="dxa"/>
            <w:vAlign w:val="top"/>
            <w:textDirection w:val="lrTb"/>
            <w:noWrap w:val="false"/>
          </w:tcPr>
          <w:p>
            <w:pPr>
              <w:jc w:val="both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Утверждены единые для муниципалитета требования и формы.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jc w:val="both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lang w:val="ru-RU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8" w:type="dxa"/>
            <w:vAlign w:val="top"/>
            <w:textDirection w:val="lrTb"/>
            <w:noWrap w:val="false"/>
          </w:tcPr>
          <w:p>
            <w:pPr>
              <w:jc w:val="both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lang w:val="ru-RU"/>
              </w:rPr>
              <w:t xml:space="preserve">-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top"/>
            <w:textDirection w:val="lrTb"/>
            <w:noWrap w:val="false"/>
          </w:tcPr>
          <w:p>
            <w:pPr>
              <w:ind w:left="142" w:right="80" w:firstLine="0"/>
              <w:jc w:val="both"/>
              <w:spacing w:before="0" w:after="0" w:line="240" w:lineRule="auto"/>
              <w:widowControl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Информирование предпринимателей через официальные сайты, СМИ и личные кабинеты о новых правилах и процедуре включения в схему.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9" w:type="dxa"/>
            <w:vAlign w:val="top"/>
            <w:textDirection w:val="lrTb"/>
            <w:noWrap w:val="false"/>
          </w:tcPr>
          <w:p>
            <w:pPr>
              <w:jc w:val="both"/>
              <w:spacing w:before="0" w:after="0" w:line="240" w:lineRule="auto"/>
              <w:widowControl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В течение 1 месяца с момента вступления постановления в силу.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3" w:type="dxa"/>
            <w:vAlign w:val="top"/>
            <w:textDirection w:val="lrTb"/>
            <w:noWrap w:val="false"/>
          </w:tcPr>
          <w:p>
            <w:pPr>
              <w:jc w:val="both"/>
              <w:spacing w:before="0" w:after="0" w:line="240" w:lineRule="auto"/>
              <w:widowControl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Предприниматели обладают полной и достоверной информацией.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jc w:val="both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lang w:val="ru-RU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8" w:type="dxa"/>
            <w:vAlign w:val="top"/>
            <w:textDirection w:val="lrTb"/>
            <w:noWrap w:val="false"/>
          </w:tcPr>
          <w:p>
            <w:pPr>
              <w:jc w:val="both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lang w:val="ru-RU"/>
              </w:rPr>
              <w:t xml:space="preserve">-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top"/>
            <w:textDirection w:val="lrTb"/>
            <w:noWrap w:val="false"/>
          </w:tcPr>
          <w:p>
            <w:pPr>
              <w:ind w:left="142" w:right="80" w:firstLine="0"/>
              <w:jc w:val="both"/>
              <w:spacing w:before="0" w:after="0" w:line="240" w:lineRule="auto"/>
              <w:widowControl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Проведение органами МСУ процедуры включения НТО в схему.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9" w:type="dxa"/>
            <w:vAlign w:val="top"/>
            <w:textDirection w:val="lrTb"/>
            <w:noWrap w:val="false"/>
          </w:tcPr>
          <w:p>
            <w:pPr>
              <w:jc w:val="both"/>
              <w:spacing w:before="0" w:after="0" w:line="240" w:lineRule="auto"/>
              <w:widowControl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Постоянно, после вступления в силу (с 01.09.2026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ru-RU" w:eastAsia="zh-CN"/>
              </w:rPr>
              <w:t xml:space="preserve"> г.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).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3" w:type="dxa"/>
            <w:vAlign w:val="top"/>
            <w:textDirection w:val="lrTb"/>
            <w:noWrap w:val="false"/>
          </w:tcPr>
          <w:p>
            <w:pPr>
              <w:jc w:val="both"/>
              <w:spacing w:before="0" w:after="0" w:line="240" w:lineRule="auto"/>
              <w:widowControl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НТО на частной земле включены в схему.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jc w:val="both"/>
              <w:spacing w:before="0" w:after="0" w:line="240" w:lineRule="auto"/>
              <w:widowControl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lang w:val="ru-RU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8" w:type="dxa"/>
            <w:vAlign w:val="top"/>
            <w:textDirection w:val="lrTb"/>
            <w:noWrap w:val="false"/>
          </w:tcPr>
          <w:p>
            <w:pPr>
              <w:jc w:val="both"/>
              <w:spacing w:before="0" w:after="0" w:line="240" w:lineRule="auto"/>
              <w:widowControl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lang w:val="ru-RU"/>
              </w:rPr>
              <w:t xml:space="preserve">-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1" w:type="dxa"/>
            <w:vAlign w:val="top"/>
            <w:textDirection w:val="lrTb"/>
            <w:noWrap w:val="false"/>
          </w:tcPr>
          <w:p>
            <w:pPr>
              <w:ind w:left="142" w:right="80" w:firstLine="0"/>
              <w:jc w:val="both"/>
              <w:spacing w:before="0" w:after="0" w:line="240" w:lineRule="auto"/>
              <w:widowControl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Организация муниципального контроля за соблюдением новых требований.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9" w:type="dxa"/>
            <w:vAlign w:val="top"/>
            <w:textDirection w:val="lrTb"/>
            <w:noWrap w:val="false"/>
          </w:tcPr>
          <w:p>
            <w:pPr>
              <w:jc w:val="both"/>
              <w:spacing w:before="0" w:after="0" w:line="240" w:lineRule="auto"/>
              <w:widowControl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Постоянно, после завершения переходного периода.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23" w:type="dxa"/>
            <w:vAlign w:val="top"/>
            <w:textDirection w:val="lrTb"/>
            <w:noWrap w:val="false"/>
          </w:tcPr>
          <w:p>
            <w:pPr>
              <w:jc w:val="both"/>
              <w:spacing w:before="0" w:after="0" w:line="240" w:lineRule="auto"/>
              <w:widowControl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Выявляются и устраняются нарушения.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jc w:val="both"/>
              <w:spacing w:before="0" w:after="0" w:line="240" w:lineRule="auto"/>
              <w:widowControl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lang w:val="ru-RU"/>
              </w:rPr>
              <w:t xml:space="preserve">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8" w:type="dxa"/>
            <w:vAlign w:val="top"/>
            <w:textDirection w:val="lrTb"/>
            <w:noWrap w:val="false"/>
          </w:tcPr>
          <w:p>
            <w:pPr>
              <w:jc w:val="both"/>
              <w:spacing w:before="0" w:after="0" w:line="240" w:lineRule="auto"/>
              <w:widowControl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  <w:highlight w:val="none"/>
                <w:lang w:val="ru-RU"/>
              </w:rPr>
              <w:t xml:space="preserve">-</w:t>
            </w:r>
            <w:r/>
          </w:p>
        </w:tc>
      </w:tr>
    </w:tbl>
    <w:p>
      <w:pPr>
        <w:ind w:firstLine="709"/>
        <w:spacing w:before="0" w:after="0" w:line="240" w:lineRule="auto"/>
        <w:rPr>
          <w:rFonts w:hint="default" w:ascii="Times New Roman" w:hAnsi="Times New Roman" w:eastAsia="Calibri" w:cs="Times New Roman"/>
          <w:b/>
          <w:bCs/>
          <w:color w:val="auto"/>
          <w:sz w:val="26"/>
          <w:szCs w:val="26"/>
        </w:rPr>
      </w:pPr>
      <w:r>
        <w:rPr>
          <w:rFonts w:hint="default" w:ascii="Times New Roman" w:hAnsi="Times New Roman" w:eastAsia="Calibri" w:cs="Times New Roman"/>
          <w:b/>
          <w:bCs/>
          <w:color w:val="auto"/>
          <w:sz w:val="26"/>
          <w:szCs w:val="26"/>
        </w:rPr>
      </w:r>
      <w:r/>
    </w:p>
    <w:p>
      <w:pPr>
        <w:ind w:firstLine="709"/>
        <w:spacing w:before="0" w:after="0" w:line="240" w:lineRule="auto"/>
        <w:rPr>
          <w:rFonts w:hint="default" w:ascii="Times New Roman" w:hAnsi="Times New Roman" w:eastAsia="Calibri" w:cs="Times New Roman"/>
          <w:color w:val="auto"/>
          <w:sz w:val="26"/>
          <w:szCs w:val="26"/>
        </w:rPr>
      </w:pPr>
      <w:r>
        <w:rPr>
          <w:rFonts w:hint="default" w:ascii="Times New Roman" w:hAnsi="Times New Roman" w:eastAsia="Calibri" w:cs="Times New Roman"/>
          <w:b/>
          <w:bCs w:val="0"/>
          <w:color w:val="auto"/>
          <w:sz w:val="26"/>
          <w:szCs w:val="26"/>
        </w:rPr>
        <w:t xml:space="preserve">7. Ожидаемые измеримые результаты правового регулирования: </w:t>
      </w:r>
      <w:r/>
    </w:p>
    <w:tbl>
      <w:tblPr>
        <w:tblStyle w:val="645"/>
        <w:tblW w:w="9776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95"/>
        <w:gridCol w:w="2386"/>
        <w:gridCol w:w="2411"/>
        <w:gridCol w:w="1984"/>
      </w:tblGrid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5" w:type="dxa"/>
            <w:textDirection w:val="lrTb"/>
            <w:noWrap w:val="false"/>
          </w:tcPr>
          <w:p>
            <w:pPr>
              <w:jc w:val="center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color w:val="auto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  <w:t xml:space="preserve">Ключевые показатели достижения целей, заявленных </w:t>
            </w:r>
            <w:r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  <w:br/>
            </w:r>
            <w:r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  <w:t xml:space="preserve">в предложенном регулировании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textDirection w:val="lrTb"/>
            <w:noWrap w:val="false"/>
          </w:tcPr>
          <w:p>
            <w:pPr>
              <w:jc w:val="center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color w:val="auto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  <w:t xml:space="preserve">Количественное значение ключевых показателей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textDirection w:val="lrTb"/>
            <w:noWrap w:val="false"/>
          </w:tcPr>
          <w:p>
            <w:pPr>
              <w:jc w:val="center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color w:val="auto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  <w:t xml:space="preserve">Методы контроля эффективности достижения целей правового регулирования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color w:val="auto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  <w:t xml:space="preserve">Срок оценки достижения ключевых показателей </w:t>
            </w:r>
            <w:r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  <w:br/>
            </w:r>
            <w:r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  <w:t xml:space="preserve">(не более 5 лет)</w:t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5" w:type="dxa"/>
            <w:vAlign w:val="top"/>
            <w:textDirection w:val="lrTb"/>
            <w:noWrap w:val="false"/>
          </w:tcPr>
          <w:p>
            <w:pPr>
              <w:jc w:val="both"/>
              <w:spacing w:before="0" w:after="0" w:line="240" w:lineRule="auto"/>
              <w:widowControl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Доля НТО на частной земле, включенных в схему размещения, от общего числа таких объектов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ru-RU" w:eastAsia="zh-CN"/>
              </w:rPr>
              <w:t xml:space="preserve">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Align w:val="top"/>
            <w:textDirection w:val="lrTb"/>
            <w:noWrap w:val="false"/>
          </w:tcPr>
          <w:p>
            <w:pPr>
              <w:jc w:val="both"/>
              <w:spacing w:before="0" w:after="0" w:line="240" w:lineRule="auto"/>
              <w:widowControl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не менее 80% 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br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к 1 сентября 2027 года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411" w:type="dxa"/>
            <w:vAlign w:val="top"/>
            <w:vMerge w:val="restart"/>
            <w:textDirection w:val="lrTb"/>
            <w:noWrap w:val="false"/>
          </w:tcPr>
          <w:p>
            <w:pPr>
              <w:jc w:val="both"/>
              <w:spacing w:before="0" w:after="0" w:line="240" w:lineRule="auto"/>
              <w:widowControl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ru-RU" w:eastAsia="zh-CN"/>
              </w:rPr>
              <w:t xml:space="preserve">- с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татистический учет: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ru-RU" w:eastAsia="zh-CN"/>
              </w:rPr>
              <w:t xml:space="preserve">с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бор и анализ данных от органов МСУ о количестве НТО, включенных в схемы.</w:t>
            </w:r>
            <w:r/>
          </w:p>
          <w:p>
            <w:pPr>
              <w:jc w:val="both"/>
              <w:spacing w:before="0" w:after="0" w:line="240" w:lineRule="auto"/>
              <w:widowControl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r>
            <w:r/>
          </w:p>
          <w:p>
            <w:pPr>
              <w:jc w:val="both"/>
              <w:spacing w:before="0" w:after="0" w:line="240" w:lineRule="auto"/>
              <w:widowControl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ru-RU" w:eastAsia="zh-CN"/>
              </w:rPr>
              <w:t xml:space="preserve">- м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ониторинг обращений граждан: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ru-RU" w:eastAsia="zh-CN"/>
              </w:rPr>
              <w:t xml:space="preserve">а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нализ динамики жалоб, поступающих в администрации и через портал «Госуслуги».</w:t>
            </w:r>
            <w:r/>
          </w:p>
          <w:p>
            <w:pPr>
              <w:jc w:val="both"/>
              <w:spacing w:before="0" w:after="0" w:line="240" w:lineRule="auto"/>
              <w:widowControl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r>
            <w:r/>
          </w:p>
          <w:p>
            <w:pPr>
              <w:jc w:val="both"/>
              <w:spacing w:before="0" w:after="0" w:line="240" w:lineRule="auto"/>
              <w:widowControl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ru-RU" w:eastAsia="zh-CN"/>
              </w:rPr>
              <w:t xml:space="preserve">- о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тчетность органов МСУ: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ru-RU" w:eastAsia="zh-CN"/>
              </w:rPr>
              <w:t xml:space="preserve">п</w:t>
            </w:r>
            <w:bookmarkStart w:id="1" w:name="_GoBack"/>
            <w:r/>
            <w:bookmarkEnd w:id="1"/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редставление в уполномоченный орган (департамент потребительского рынка) отчетов о ходе реализации новых норм.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jc w:val="both"/>
              <w:spacing w:before="0" w:after="0" w:line="240" w:lineRule="auto"/>
              <w:widowControl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Первый этап оценки эффективности предлагаемого регулирования предлагается провести через 12 месяцев с даты вступления постановления в силу — к 1 сентября 2027 года.</w:t>
            </w:r>
            <w:r/>
          </w:p>
          <w:p>
            <w:pPr>
              <w:jc w:val="both"/>
              <w:spacing w:before="0" w:after="0" w:line="240" w:lineRule="auto"/>
              <w:widowControl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5" w:type="dxa"/>
            <w:vAlign w:val="top"/>
            <w:textDirection w:val="lrTb"/>
            <w:noWrap w:val="false"/>
          </w:tcPr>
          <w:p>
            <w:pPr>
              <w:jc w:val="both"/>
              <w:spacing w:before="0" w:after="0" w:line="240" w:lineRule="auto"/>
              <w:widowControl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Снижение количества обоснованных жалоб граждан на размещение НТО на частной земле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ru-RU" w:eastAsia="zh-CN"/>
              </w:rPr>
              <w:t xml:space="preserve">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Align w:val="top"/>
            <w:textDirection w:val="lrTb"/>
            <w:noWrap w:val="false"/>
          </w:tcPr>
          <w:p>
            <w:pPr>
              <w:jc w:val="both"/>
              <w:spacing w:before="0" w:after="0" w:line="240" w:lineRule="auto"/>
              <w:widowControl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не менее чем на 30% по сравнению с 2025 годом.</w:t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right w:val="single" w:color="000000" w:sz="4" w:space="0"/>
            </w:tcBorders>
            <w:tcW w:w="2411" w:type="dxa"/>
            <w:vAlign w:val="top"/>
            <w:vMerge w:val="continue"/>
            <w:textDirection w:val="lrTb"/>
            <w:noWrap w:val="false"/>
          </w:tcPr>
          <w:p>
            <w:pPr>
              <w:jc w:val="both"/>
              <w:spacing w:before="0" w:after="0" w:line="240" w:lineRule="auto"/>
              <w:widowControl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right w:val="single" w:color="000000" w:sz="4" w:space="0"/>
            </w:tcBorders>
            <w:tcW w:w="1984" w:type="dxa"/>
            <w:vAlign w:val="top"/>
            <w:vMerge w:val="continue"/>
            <w:textDirection w:val="lrTb"/>
            <w:noWrap w:val="false"/>
          </w:tcPr>
          <w:p>
            <w:pPr>
              <w:jc w:val="both"/>
              <w:spacing w:before="0" w:after="0" w:line="240" w:lineRule="auto"/>
              <w:widowControl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</w:r>
            <w:r/>
          </w:p>
        </w:tc>
      </w:tr>
      <w:tr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5" w:type="dxa"/>
            <w:vAlign w:val="top"/>
            <w:textDirection w:val="lrTb"/>
            <w:noWrap w:val="false"/>
          </w:tcPr>
          <w:p>
            <w:pPr>
              <w:jc w:val="both"/>
              <w:spacing w:before="0" w:after="0" w:line="240" w:lineRule="auto"/>
              <w:widowControl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Доля муниципальных образований, принявших нормативные акты о требованиях к архитектурному облику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Align w:val="top"/>
            <w:textDirection w:val="lrTb"/>
            <w:noWrap w:val="false"/>
          </w:tcPr>
          <w:p>
            <w:pPr>
              <w:jc w:val="both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100% к 1 декабря 2026 года.</w:t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top"/>
            <w:vMerge w:val="continue"/>
            <w:textDirection w:val="lrTb"/>
            <w:noWrap w:val="false"/>
          </w:tcPr>
          <w:p>
            <w:pPr>
              <w:jc w:val="both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Cs/>
                <w:color w:val="auto"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vMerge w:val="continue"/>
            <w:textDirection w:val="lrTb"/>
            <w:noWrap w:val="false"/>
          </w:tcPr>
          <w:p>
            <w:pPr>
              <w:jc w:val="both"/>
              <w:spacing w:before="0" w:after="0" w:line="240" w:lineRule="auto"/>
              <w:widowControl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eastAsia="ru-RU"/>
              </w:rPr>
            </w:r>
            <w:r/>
          </w:p>
        </w:tc>
      </w:tr>
    </w:tbl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b/>
          <w:bCs/>
          <w:color w:val="auto"/>
          <w:sz w:val="26"/>
          <w:szCs w:val="26"/>
        </w:rPr>
      </w:pPr>
      <w:r>
        <w:rPr>
          <w:rFonts w:hint="default" w:ascii="Times New Roman" w:hAnsi="Times New Roman" w:eastAsia="Calibri" w:cs="Times New Roman"/>
          <w:b/>
          <w:bCs/>
          <w:color w:val="auto"/>
          <w:sz w:val="26"/>
          <w:szCs w:val="26"/>
        </w:rPr>
      </w:r>
      <w:r/>
    </w:p>
    <w:p>
      <w:pPr>
        <w:ind w:firstLine="709"/>
        <w:jc w:val="both"/>
        <w:spacing w:before="0" w:after="0" w:line="240" w:lineRule="auto"/>
        <w:rPr>
          <w:rFonts w:hint="default" w:ascii="Times New Roman" w:hAnsi="Times New Roman" w:eastAsia="Calibri" w:cs="Times New Roman"/>
          <w:b/>
          <w:bCs w:val="0"/>
          <w:color w:val="auto"/>
          <w:sz w:val="26"/>
          <w:szCs w:val="26"/>
        </w:rPr>
      </w:pPr>
      <w:r>
        <w:rPr>
          <w:rFonts w:hint="default" w:ascii="Times New Roman" w:hAnsi="Times New Roman" w:eastAsia="Calibri" w:cs="Times New Roman"/>
          <w:b/>
          <w:bCs w:val="0"/>
          <w:color w:val="auto"/>
          <w:sz w:val="26"/>
          <w:szCs w:val="26"/>
        </w:rPr>
        <w:t xml:space="preserve">8. Предполагаемая дата вступления в силу проекта нормативного правового акта: </w:t>
      </w:r>
      <w:r>
        <w:rPr>
          <w:rFonts w:hint="default" w:ascii="Times New Roman" w:hAnsi="Times New Roman" w:eastAsia="Calibri" w:cs="Times New Roman"/>
          <w:b/>
          <w:bCs w:val="0"/>
          <w:color w:val="auto"/>
          <w:sz w:val="26"/>
          <w:szCs w:val="26"/>
          <w:lang w:val="ru-RU"/>
        </w:rPr>
        <w:t xml:space="preserve">1 сентября </w:t>
      </w:r>
      <w:r>
        <w:rPr>
          <w:rFonts w:hint="default" w:ascii="Times New Roman" w:hAnsi="Times New Roman" w:eastAsia="Calibri" w:cs="Times New Roman"/>
          <w:b/>
          <w:bCs w:val="0"/>
          <w:color w:val="auto"/>
          <w:sz w:val="26"/>
          <w:szCs w:val="26"/>
        </w:rPr>
        <w:t xml:space="preserve">202</w:t>
      </w:r>
      <w:r>
        <w:rPr>
          <w:rFonts w:hint="default" w:ascii="Times New Roman" w:hAnsi="Times New Roman" w:eastAsia="Calibri" w:cs="Times New Roman"/>
          <w:b/>
          <w:bCs w:val="0"/>
          <w:color w:val="auto"/>
          <w:sz w:val="26"/>
          <w:szCs w:val="26"/>
          <w:lang w:val="ru-RU"/>
        </w:rPr>
        <w:t xml:space="preserve">6 </w:t>
      </w:r>
      <w:r>
        <w:rPr>
          <w:rFonts w:hint="default" w:ascii="Times New Roman" w:hAnsi="Times New Roman" w:eastAsia="Calibri" w:cs="Times New Roman"/>
          <w:b/>
          <w:bCs w:val="0"/>
          <w:color w:val="auto"/>
          <w:sz w:val="26"/>
          <w:szCs w:val="26"/>
        </w:rPr>
        <w:t xml:space="preserve">года.</w:t>
      </w:r>
      <w:r/>
    </w:p>
    <w:sectPr>
      <w:footnotePr/>
      <w:endnotePr/>
      <w:type w:val="nextPage"/>
      <w:pgSz w:w="11906" w:h="16838" w:orient="portrait"/>
      <w:pgMar w:top="851" w:right="567" w:bottom="396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imesNewRomanPSMT">
    <w:panose1 w:val="02020603050405020304"/>
  </w:font>
  <w:font w:name="Verdana">
    <w:panose1 w:val="020B0604030504040204"/>
  </w:font>
  <w:font w:name="Courier New">
    <w:panose1 w:val="02070309020205020404"/>
  </w:font>
  <w:font w:name="Calibri">
    <w:panose1 w:val="020F0502020204030204"/>
  </w:font>
  <w:font w:name="Tahoma">
    <w:panose1 w:val="020B0604030504040204"/>
  </w:font>
  <w:font w:name="Noto Sans CJK SC">
    <w:panose1 w:val="020B0502040504020204"/>
  </w:font>
  <w:font w:name="PT Astra Serif">
    <w:panose1 w:val="020A0603040505020204"/>
  </w:font>
  <w:font w:name="Arial">
    <w:panose1 w:val="020B0604020202020204"/>
  </w:font>
  <w:font w:name="FreeSans">
    <w:panose1 w:val="020B0606020202030204"/>
  </w:font>
  <w:font w:name="SimSun">
    <w:panose1 w:val="02000506000000020000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before="0" w:after="0" w:line="276" w:lineRule="auto"/>
      </w:pPr>
      <w:r>
        <w:separator/>
      </w:r>
      <w:r/>
    </w:p>
  </w:footnote>
  <w:footnote w:type="continuationSeparator" w:id="0">
    <w:p>
      <w:pPr>
        <w:spacing w:before="0" w:after="0" w:line="276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SimSun" w:cs="Times New Roma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 w:default="1">
    <w:name w:val="Normal"/>
    <w:uiPriority w:val="0"/>
    <w:qFormat/>
    <w:pPr>
      <w:jc w:val="left"/>
      <w:spacing w:before="0" w:beforeAutospacing="0" w:after="200" w:afterAutospacing="0" w:line="276" w:lineRule="auto"/>
      <w:widowControl/>
    </w:pPr>
    <w:rPr>
      <w:rFonts w:hint="default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635">
    <w:name w:val="Heading 1"/>
    <w:basedOn w:val="634"/>
    <w:next w:val="63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36">
    <w:name w:val="Heading 2"/>
    <w:basedOn w:val="634"/>
    <w:next w:val="63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37">
    <w:name w:val="Heading 3"/>
    <w:basedOn w:val="634"/>
    <w:next w:val="63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38">
    <w:name w:val="Heading 4"/>
    <w:basedOn w:val="634"/>
    <w:next w:val="63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39">
    <w:name w:val="Heading 5"/>
    <w:basedOn w:val="634"/>
    <w:next w:val="63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40">
    <w:name w:val="Heading 6"/>
    <w:basedOn w:val="634"/>
    <w:next w:val="63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41">
    <w:name w:val="Heading 7"/>
    <w:basedOn w:val="634"/>
    <w:next w:val="63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42">
    <w:name w:val="Heading 8"/>
    <w:basedOn w:val="634"/>
    <w:next w:val="63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43">
    <w:name w:val="Heading 9"/>
    <w:basedOn w:val="634"/>
    <w:next w:val="63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44" w:default="1">
    <w:name w:val="Default Paragraph Font"/>
    <w:uiPriority w:val="1"/>
    <w:semiHidden/>
    <w:unhideWhenUsed/>
    <w:qFormat/>
  </w:style>
  <w:style w:type="table" w:styleId="645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character" w:styleId="646">
    <w:name w:val="footnote reference"/>
    <w:uiPriority w:val="0"/>
    <w:qFormat/>
    <w:rPr>
      <w:vertAlign w:val="superscript"/>
    </w:rPr>
  </w:style>
  <w:style w:type="character" w:styleId="647">
    <w:name w:val="endnote reference"/>
    <w:uiPriority w:val="0"/>
    <w:qFormat/>
    <w:rPr>
      <w:vertAlign w:val="superscript"/>
    </w:rPr>
  </w:style>
  <w:style w:type="character" w:styleId="648">
    <w:name w:val="Emphasis"/>
    <w:basedOn w:val="644"/>
    <w:uiPriority w:val="20"/>
    <w:qFormat/>
    <w:rPr>
      <w:i/>
      <w:iCs/>
    </w:rPr>
  </w:style>
  <w:style w:type="character" w:styleId="649">
    <w:name w:val="Hyperlink"/>
    <w:uiPriority w:val="99"/>
    <w:unhideWhenUsed/>
    <w:qFormat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650">
    <w:name w:val="Strong"/>
    <w:uiPriority w:val="0"/>
    <w:qFormat/>
    <w:rPr>
      <w:b/>
      <w:bCs/>
    </w:rPr>
  </w:style>
  <w:style w:type="paragraph" w:styleId="651">
    <w:name w:val="endnote text"/>
    <w:basedOn w:val="634"/>
    <w:link w:val="713"/>
    <w:uiPriority w:val="99"/>
    <w:semiHidden/>
    <w:unhideWhenUsed/>
    <w:qFormat/>
    <w:pPr>
      <w:spacing w:before="0" w:after="0" w:line="240" w:lineRule="auto"/>
    </w:pPr>
    <w:rPr>
      <w:sz w:val="20"/>
    </w:rPr>
  </w:style>
  <w:style w:type="paragraph" w:styleId="652">
    <w:name w:val="Caption"/>
    <w:basedOn w:val="634"/>
    <w:next w:val="634"/>
    <w:uiPriority w:val="35"/>
    <w:semiHidden/>
    <w:unhideWhenUsed/>
    <w:qFormat/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653">
    <w:name w:val="index 1"/>
    <w:basedOn w:val="634"/>
    <w:next w:val="634"/>
    <w:uiPriority w:val="99"/>
    <w:semiHidden/>
    <w:unhideWhenUsed/>
    <w:qFormat/>
  </w:style>
  <w:style w:type="paragraph" w:styleId="654">
    <w:name w:val="footnote text"/>
    <w:basedOn w:val="634"/>
    <w:link w:val="712"/>
    <w:uiPriority w:val="99"/>
    <w:semiHidden/>
    <w:unhideWhenUsed/>
    <w:qFormat/>
    <w:pPr>
      <w:spacing w:before="0" w:after="40" w:line="240" w:lineRule="auto"/>
    </w:pPr>
    <w:rPr>
      <w:sz w:val="18"/>
    </w:rPr>
  </w:style>
  <w:style w:type="paragraph" w:styleId="655">
    <w:name w:val="toc 8"/>
    <w:basedOn w:val="634"/>
    <w:next w:val="634"/>
    <w:uiPriority w:val="39"/>
    <w:unhideWhenUsed/>
    <w:qFormat/>
    <w:pPr>
      <w:ind w:left="1984"/>
      <w:spacing w:before="0" w:after="57"/>
    </w:pPr>
  </w:style>
  <w:style w:type="paragraph" w:styleId="656">
    <w:name w:val="Header"/>
    <w:basedOn w:val="634"/>
    <w:link w:val="709"/>
    <w:uiPriority w:val="99"/>
    <w:unhideWhenUsed/>
    <w:qFormat/>
    <w:pPr>
      <w:spacing w:before="0" w:after="0" w:line="240" w:lineRule="auto"/>
      <w:tabs>
        <w:tab w:val="center" w:pos="7143" w:leader="none"/>
        <w:tab w:val="right" w:pos="14287" w:leader="none"/>
      </w:tabs>
    </w:pPr>
  </w:style>
  <w:style w:type="paragraph" w:styleId="657">
    <w:name w:val="toc 9"/>
    <w:basedOn w:val="634"/>
    <w:next w:val="634"/>
    <w:uiPriority w:val="39"/>
    <w:unhideWhenUsed/>
    <w:qFormat/>
    <w:pPr>
      <w:ind w:left="2268"/>
      <w:spacing w:before="0" w:after="57"/>
    </w:pPr>
  </w:style>
  <w:style w:type="paragraph" w:styleId="658">
    <w:name w:val="toc 7"/>
    <w:basedOn w:val="634"/>
    <w:next w:val="634"/>
    <w:uiPriority w:val="39"/>
    <w:unhideWhenUsed/>
    <w:qFormat/>
    <w:pPr>
      <w:ind w:left="1701"/>
      <w:spacing w:before="0" w:after="57"/>
    </w:pPr>
  </w:style>
  <w:style w:type="paragraph" w:styleId="659">
    <w:name w:val="Body Text"/>
    <w:basedOn w:val="634"/>
    <w:uiPriority w:val="0"/>
    <w:qFormat/>
    <w:pPr>
      <w:spacing w:before="0" w:after="140" w:line="276" w:lineRule="auto"/>
    </w:pPr>
  </w:style>
  <w:style w:type="paragraph" w:styleId="660">
    <w:name w:val="index heading"/>
    <w:basedOn w:val="661"/>
    <w:next w:val="653"/>
    <w:uiPriority w:val="0"/>
    <w:qFormat/>
  </w:style>
  <w:style w:type="paragraph" w:styleId="661" w:customStyle="1">
    <w:name w:val="Заголовок"/>
    <w:basedOn w:val="634"/>
    <w:next w:val="659"/>
    <w:uiPriority w:val="0"/>
    <w:qFormat/>
    <w:pPr>
      <w:keepNext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662">
    <w:name w:val="toc 1"/>
    <w:basedOn w:val="634"/>
    <w:next w:val="634"/>
    <w:uiPriority w:val="39"/>
    <w:unhideWhenUsed/>
    <w:qFormat/>
    <w:pPr>
      <w:spacing w:before="0" w:after="57"/>
    </w:pPr>
  </w:style>
  <w:style w:type="paragraph" w:styleId="663">
    <w:name w:val="toc 6"/>
    <w:basedOn w:val="634"/>
    <w:next w:val="634"/>
    <w:uiPriority w:val="39"/>
    <w:unhideWhenUsed/>
    <w:qFormat/>
    <w:pPr>
      <w:ind w:left="1417"/>
      <w:spacing w:before="0" w:after="57"/>
    </w:pPr>
  </w:style>
  <w:style w:type="paragraph" w:styleId="664">
    <w:name w:val="table of figures"/>
    <w:basedOn w:val="634"/>
    <w:next w:val="634"/>
    <w:uiPriority w:val="99"/>
    <w:unhideWhenUsed/>
    <w:qFormat/>
    <w:pPr>
      <w:spacing w:before="0" w:after="0"/>
    </w:pPr>
  </w:style>
  <w:style w:type="paragraph" w:styleId="665">
    <w:name w:val="toc 3"/>
    <w:basedOn w:val="634"/>
    <w:next w:val="634"/>
    <w:uiPriority w:val="39"/>
    <w:unhideWhenUsed/>
    <w:qFormat/>
    <w:pPr>
      <w:ind w:left="567"/>
      <w:spacing w:before="0" w:after="57"/>
    </w:pPr>
  </w:style>
  <w:style w:type="paragraph" w:styleId="666">
    <w:name w:val="toc 2"/>
    <w:basedOn w:val="634"/>
    <w:next w:val="634"/>
    <w:uiPriority w:val="39"/>
    <w:unhideWhenUsed/>
    <w:qFormat/>
    <w:pPr>
      <w:ind w:left="283"/>
      <w:spacing w:before="0" w:after="57"/>
    </w:pPr>
  </w:style>
  <w:style w:type="paragraph" w:styleId="667">
    <w:name w:val="toc 4"/>
    <w:basedOn w:val="634"/>
    <w:next w:val="634"/>
    <w:uiPriority w:val="39"/>
    <w:unhideWhenUsed/>
    <w:qFormat/>
    <w:pPr>
      <w:ind w:left="850"/>
      <w:spacing w:before="0" w:after="57"/>
    </w:pPr>
  </w:style>
  <w:style w:type="paragraph" w:styleId="668">
    <w:name w:val="toc 5"/>
    <w:basedOn w:val="634"/>
    <w:next w:val="634"/>
    <w:uiPriority w:val="39"/>
    <w:unhideWhenUsed/>
    <w:qFormat/>
    <w:pPr>
      <w:ind w:left="1134"/>
      <w:spacing w:before="0" w:after="57"/>
    </w:pPr>
  </w:style>
  <w:style w:type="paragraph" w:styleId="669">
    <w:name w:val="Title"/>
    <w:basedOn w:val="634"/>
    <w:next w:val="634"/>
    <w:link w:val="703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670">
    <w:name w:val="Footer"/>
    <w:basedOn w:val="634"/>
    <w:link w:val="711"/>
    <w:uiPriority w:val="99"/>
    <w:unhideWhenUsed/>
    <w:qFormat/>
    <w:pPr>
      <w:spacing w:before="0" w:after="0" w:line="240" w:lineRule="auto"/>
      <w:tabs>
        <w:tab w:val="center" w:pos="7143" w:leader="none"/>
        <w:tab w:val="right" w:pos="14287" w:leader="none"/>
      </w:tabs>
    </w:pPr>
  </w:style>
  <w:style w:type="paragraph" w:styleId="671">
    <w:name w:val="List"/>
    <w:basedOn w:val="659"/>
    <w:uiPriority w:val="0"/>
    <w:qFormat/>
    <w:rPr>
      <w:rFonts w:ascii="PT Astra Serif" w:hAnsi="PT Astra Serif" w:cs="FreeSans"/>
    </w:rPr>
  </w:style>
  <w:style w:type="paragraph" w:styleId="672">
    <w:name w:val="Normal (Web)"/>
    <w:basedOn w:val="634"/>
    <w:uiPriority w:val="99"/>
    <w:semiHidden/>
    <w:unhideWhenUsed/>
    <w:qFormat/>
    <w:rPr>
      <w:sz w:val="24"/>
      <w:szCs w:val="24"/>
    </w:rPr>
  </w:style>
  <w:style w:type="paragraph" w:styleId="673">
    <w:name w:val="Subtitle"/>
    <w:basedOn w:val="634"/>
    <w:next w:val="634"/>
    <w:link w:val="704"/>
    <w:uiPriority w:val="11"/>
    <w:qFormat/>
    <w:pPr>
      <w:spacing w:before="200" w:after="200"/>
    </w:pPr>
    <w:rPr>
      <w:sz w:val="24"/>
      <w:szCs w:val="24"/>
    </w:rPr>
  </w:style>
  <w:style w:type="table" w:styleId="674">
    <w:name w:val="Table Grid"/>
    <w:basedOn w:val="645"/>
    <w:uiPriority w:val="59"/>
    <w:qFormat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75" w:customStyle="1">
    <w:name w:val="Символ сноски"/>
    <w:basedOn w:val="644"/>
    <w:uiPriority w:val="99"/>
    <w:unhideWhenUsed/>
    <w:qFormat/>
    <w:rPr>
      <w:vertAlign w:val="superscript"/>
    </w:rPr>
  </w:style>
  <w:style w:type="character" w:styleId="676" w:customStyle="1">
    <w:name w:val="Символ концевой сноски"/>
    <w:basedOn w:val="644"/>
    <w:uiPriority w:val="99"/>
    <w:semiHidden/>
    <w:unhideWhenUsed/>
    <w:qFormat/>
    <w:rPr>
      <w:vertAlign w:val="superscript"/>
    </w:rPr>
  </w:style>
  <w:style w:type="character" w:styleId="677" w:customStyle="1">
    <w:name w:val="Heading 1 Char"/>
    <w:basedOn w:val="644"/>
    <w:uiPriority w:val="9"/>
    <w:qFormat/>
    <w:rPr>
      <w:rFonts w:ascii="Arial" w:hAnsi="Arial" w:eastAsia="Arial" w:cs="Arial"/>
      <w:sz w:val="40"/>
      <w:szCs w:val="40"/>
    </w:rPr>
  </w:style>
  <w:style w:type="character" w:styleId="678" w:customStyle="1">
    <w:name w:val="Heading 2 Char"/>
    <w:basedOn w:val="644"/>
    <w:uiPriority w:val="9"/>
    <w:qFormat/>
    <w:rPr>
      <w:rFonts w:ascii="Arial" w:hAnsi="Arial" w:eastAsia="Arial" w:cs="Arial"/>
      <w:sz w:val="34"/>
    </w:rPr>
  </w:style>
  <w:style w:type="character" w:styleId="679" w:customStyle="1">
    <w:name w:val="Heading 3 Char"/>
    <w:basedOn w:val="644"/>
    <w:uiPriority w:val="9"/>
    <w:qFormat/>
    <w:rPr>
      <w:rFonts w:ascii="Arial" w:hAnsi="Arial" w:eastAsia="Arial" w:cs="Arial"/>
      <w:sz w:val="30"/>
      <w:szCs w:val="30"/>
    </w:rPr>
  </w:style>
  <w:style w:type="character" w:styleId="680" w:customStyle="1">
    <w:name w:val="Heading 4 Char"/>
    <w:basedOn w:val="644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81" w:customStyle="1">
    <w:name w:val="Heading 5 Char"/>
    <w:basedOn w:val="644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82" w:customStyle="1">
    <w:name w:val="Heading 6 Char"/>
    <w:basedOn w:val="644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83" w:customStyle="1">
    <w:name w:val="Heading 7 Char"/>
    <w:basedOn w:val="644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84" w:customStyle="1">
    <w:name w:val="Heading 8 Char"/>
    <w:basedOn w:val="644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85" w:customStyle="1">
    <w:name w:val="Heading 9 Char"/>
    <w:basedOn w:val="644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86" w:customStyle="1">
    <w:name w:val="Title Char"/>
    <w:basedOn w:val="644"/>
    <w:uiPriority w:val="10"/>
    <w:qFormat/>
    <w:rPr>
      <w:sz w:val="48"/>
      <w:szCs w:val="48"/>
    </w:rPr>
  </w:style>
  <w:style w:type="character" w:styleId="687" w:customStyle="1">
    <w:name w:val="Subtitle Char"/>
    <w:basedOn w:val="644"/>
    <w:uiPriority w:val="11"/>
    <w:qFormat/>
    <w:rPr>
      <w:sz w:val="24"/>
      <w:szCs w:val="24"/>
    </w:rPr>
  </w:style>
  <w:style w:type="character" w:styleId="688" w:customStyle="1">
    <w:name w:val="Quote Char"/>
    <w:uiPriority w:val="29"/>
    <w:qFormat/>
    <w:rPr>
      <w:i/>
    </w:rPr>
  </w:style>
  <w:style w:type="character" w:styleId="689" w:customStyle="1">
    <w:name w:val="Intense Quote Char"/>
    <w:uiPriority w:val="30"/>
    <w:qFormat/>
    <w:rPr>
      <w:i/>
    </w:rPr>
  </w:style>
  <w:style w:type="character" w:styleId="690" w:customStyle="1">
    <w:name w:val="Header Char"/>
    <w:basedOn w:val="644"/>
    <w:uiPriority w:val="99"/>
    <w:qFormat/>
  </w:style>
  <w:style w:type="character" w:styleId="691" w:customStyle="1">
    <w:name w:val="Caption Char"/>
    <w:uiPriority w:val="99"/>
    <w:qFormat/>
  </w:style>
  <w:style w:type="character" w:styleId="692" w:customStyle="1">
    <w:name w:val="Footnote Text Char"/>
    <w:uiPriority w:val="99"/>
    <w:qFormat/>
    <w:rPr>
      <w:sz w:val="18"/>
    </w:rPr>
  </w:style>
  <w:style w:type="character" w:styleId="693" w:customStyle="1">
    <w:name w:val="Endnote Text Char"/>
    <w:uiPriority w:val="99"/>
    <w:qFormat/>
    <w:rPr>
      <w:sz w:val="20"/>
    </w:rPr>
  </w:style>
  <w:style w:type="character" w:styleId="694" w:customStyle="1">
    <w:name w:val="Заголовок 1 Знак"/>
    <w:basedOn w:val="644"/>
    <w:uiPriority w:val="9"/>
    <w:qFormat/>
    <w:rPr>
      <w:rFonts w:ascii="Arial" w:hAnsi="Arial" w:eastAsia="Arial" w:cs="Arial"/>
      <w:sz w:val="40"/>
      <w:szCs w:val="40"/>
    </w:rPr>
  </w:style>
  <w:style w:type="character" w:styleId="695" w:customStyle="1">
    <w:name w:val="Заголовок 2 Знак"/>
    <w:basedOn w:val="644"/>
    <w:uiPriority w:val="9"/>
    <w:qFormat/>
    <w:rPr>
      <w:rFonts w:ascii="Arial" w:hAnsi="Arial" w:eastAsia="Arial" w:cs="Arial"/>
      <w:sz w:val="34"/>
    </w:rPr>
  </w:style>
  <w:style w:type="character" w:styleId="696" w:customStyle="1">
    <w:name w:val="Заголовок 3 Знак"/>
    <w:basedOn w:val="644"/>
    <w:uiPriority w:val="9"/>
    <w:qFormat/>
    <w:rPr>
      <w:rFonts w:ascii="Arial" w:hAnsi="Arial" w:eastAsia="Arial" w:cs="Arial"/>
      <w:sz w:val="30"/>
      <w:szCs w:val="30"/>
    </w:rPr>
  </w:style>
  <w:style w:type="character" w:styleId="697" w:customStyle="1">
    <w:name w:val="Заголовок 4 Знак"/>
    <w:basedOn w:val="644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98" w:customStyle="1">
    <w:name w:val="Заголовок 5 Знак"/>
    <w:basedOn w:val="644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99" w:customStyle="1">
    <w:name w:val="Заголовок 6 Знак"/>
    <w:basedOn w:val="644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00" w:customStyle="1">
    <w:name w:val="Заголовок 7 Знак"/>
    <w:basedOn w:val="644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01" w:customStyle="1">
    <w:name w:val="Заголовок 8 Знак"/>
    <w:basedOn w:val="644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02" w:customStyle="1">
    <w:name w:val="Заголовок 9 Знак"/>
    <w:basedOn w:val="644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03" w:customStyle="1">
    <w:name w:val="Заголовок Знак"/>
    <w:basedOn w:val="644"/>
    <w:link w:val="669"/>
    <w:uiPriority w:val="10"/>
    <w:qFormat/>
    <w:rPr>
      <w:sz w:val="48"/>
      <w:szCs w:val="48"/>
    </w:rPr>
  </w:style>
  <w:style w:type="character" w:styleId="704" w:customStyle="1">
    <w:name w:val="Подзаголовок Знак"/>
    <w:basedOn w:val="644"/>
    <w:link w:val="673"/>
    <w:uiPriority w:val="11"/>
    <w:qFormat/>
    <w:rPr>
      <w:sz w:val="24"/>
      <w:szCs w:val="24"/>
    </w:rPr>
  </w:style>
  <w:style w:type="character" w:styleId="705" w:customStyle="1">
    <w:name w:val="Цитата 2 Знак"/>
    <w:link w:val="706"/>
    <w:uiPriority w:val="29"/>
    <w:qFormat/>
    <w:rPr>
      <w:i/>
    </w:rPr>
  </w:style>
  <w:style w:type="paragraph" w:styleId="706">
    <w:name w:val="Quote"/>
    <w:basedOn w:val="634"/>
    <w:next w:val="634"/>
    <w:link w:val="705"/>
    <w:uiPriority w:val="29"/>
    <w:qFormat/>
    <w:pPr>
      <w:ind w:left="720" w:right="720"/>
    </w:pPr>
    <w:rPr>
      <w:i/>
    </w:rPr>
  </w:style>
  <w:style w:type="character" w:styleId="707" w:customStyle="1">
    <w:name w:val="Выделенная цитата Знак"/>
    <w:link w:val="708"/>
    <w:uiPriority w:val="30"/>
    <w:qFormat/>
    <w:rPr>
      <w:i/>
    </w:rPr>
  </w:style>
  <w:style w:type="paragraph" w:styleId="708">
    <w:name w:val="Intense Quote"/>
    <w:basedOn w:val="634"/>
    <w:next w:val="634"/>
    <w:link w:val="70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9" w:customStyle="1">
    <w:name w:val="Верхний колонтитул Знак"/>
    <w:basedOn w:val="644"/>
    <w:link w:val="656"/>
    <w:uiPriority w:val="99"/>
    <w:qFormat/>
  </w:style>
  <w:style w:type="character" w:styleId="710" w:customStyle="1">
    <w:name w:val="Footer Char"/>
    <w:basedOn w:val="644"/>
    <w:uiPriority w:val="99"/>
    <w:qFormat/>
  </w:style>
  <w:style w:type="character" w:styleId="711" w:customStyle="1">
    <w:name w:val="Нижний колонтитул Знак"/>
    <w:link w:val="670"/>
    <w:uiPriority w:val="99"/>
    <w:qFormat/>
  </w:style>
  <w:style w:type="character" w:styleId="712" w:customStyle="1">
    <w:name w:val="Текст сноски Знак"/>
    <w:link w:val="654"/>
    <w:uiPriority w:val="99"/>
    <w:qFormat/>
    <w:rPr>
      <w:sz w:val="18"/>
    </w:rPr>
  </w:style>
  <w:style w:type="character" w:styleId="713" w:customStyle="1">
    <w:name w:val="Текст концевой сноски Знак"/>
    <w:link w:val="651"/>
    <w:uiPriority w:val="99"/>
    <w:qFormat/>
    <w:rPr>
      <w:sz w:val="20"/>
    </w:rPr>
  </w:style>
  <w:style w:type="paragraph" w:styleId="714" w:customStyle="1">
    <w:name w:val="Указатель1"/>
    <w:basedOn w:val="634"/>
    <w:uiPriority w:val="0"/>
    <w:qFormat/>
    <w:pPr>
      <w:suppressLineNumbers/>
    </w:pPr>
    <w:rPr>
      <w:rFonts w:ascii="PT Astra Serif" w:hAnsi="PT Astra Serif" w:cs="FreeSans"/>
    </w:rPr>
  </w:style>
  <w:style w:type="paragraph" w:styleId="715" w:customStyle="1">
    <w:name w:val="Колонтитулы"/>
    <w:basedOn w:val="634"/>
    <w:uiPriority w:val="0"/>
    <w:qFormat/>
  </w:style>
  <w:style w:type="paragraph" w:styleId="716">
    <w:name w:val="List Paragraph"/>
    <w:basedOn w:val="634"/>
    <w:uiPriority w:val="34"/>
    <w:qFormat/>
    <w:pPr>
      <w:contextualSpacing/>
      <w:ind w:left="720"/>
      <w:spacing w:before="0" w:after="200"/>
    </w:pPr>
  </w:style>
  <w:style w:type="paragraph" w:styleId="717">
    <w:name w:val="No Spacing"/>
    <w:uiPriority w:val="1"/>
    <w:qFormat/>
    <w:pPr>
      <w:jc w:val="left"/>
      <w:spacing w:before="0" w:beforeAutospacing="0" w:after="0" w:afterAutospacing="0" w:line="240" w:lineRule="auto"/>
      <w:widowControl/>
    </w:pPr>
    <w:rPr>
      <w:rFonts w:hint="default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718" w:customStyle="1">
    <w:name w:val="TOC Heading"/>
    <w:uiPriority w:val="39"/>
    <w:unhideWhenUsed/>
    <w:qFormat/>
    <w:pPr>
      <w:jc w:val="left"/>
      <w:spacing w:before="0" w:beforeAutospacing="0" w:after="200" w:afterAutospacing="0" w:line="276" w:lineRule="auto"/>
      <w:widowControl/>
    </w:pPr>
    <w:rPr>
      <w:rFonts w:hint="default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719" w:customStyle="1">
    <w:name w:val="ConsPlusNormal"/>
    <w:uiPriority w:val="0"/>
    <w:qFormat/>
    <w:pPr>
      <w:jc w:val="left"/>
      <w:spacing w:before="0" w:beforeAutospacing="0" w:after="0" w:afterAutospacing="0" w:line="240" w:lineRule="auto"/>
      <w:widowControl w:val="off"/>
    </w:pPr>
    <w:rPr>
      <w:rFonts w:hint="default" w:eastAsia="Times New Roman" w:cs="Calibri" w:asciiTheme="minorHAnsi" w:hAnsiTheme="minorHAnsi"/>
      <w:color w:val="auto"/>
      <w:sz w:val="22"/>
      <w:szCs w:val="20"/>
      <w:lang w:val="ru-RU" w:eastAsia="ru-RU" w:bidi="ar-SA"/>
    </w:rPr>
  </w:style>
  <w:style w:type="paragraph" w:styleId="720" w:customStyle="1">
    <w:name w:val="ConsPlusNonformat"/>
    <w:uiPriority w:val="0"/>
    <w:qFormat/>
    <w:pPr>
      <w:jc w:val="left"/>
      <w:spacing w:before="0" w:beforeAutospacing="0" w:after="0" w:afterAutospacing="0" w:line="240" w:lineRule="auto"/>
      <w:widowControl w:val="off"/>
    </w:pPr>
    <w:rPr>
      <w:rFonts w:hint="default" w:ascii="Courier New" w:hAnsi="Courier New" w:eastAsia="Times New Roman" w:cs="Courier New"/>
      <w:color w:val="auto"/>
      <w:sz w:val="20"/>
      <w:szCs w:val="20"/>
      <w:lang w:val="ru-RU" w:eastAsia="ru-RU" w:bidi="ar-SA"/>
    </w:rPr>
  </w:style>
  <w:style w:type="paragraph" w:styleId="721" w:customStyle="1">
    <w:name w:val="ConsPlusTitle"/>
    <w:uiPriority w:val="0"/>
    <w:qFormat/>
    <w:pPr>
      <w:jc w:val="left"/>
      <w:spacing w:before="0" w:beforeAutospacing="0" w:after="0" w:afterAutospacing="0" w:line="240" w:lineRule="auto"/>
      <w:widowControl w:val="off"/>
    </w:pPr>
    <w:rPr>
      <w:rFonts w:hint="default" w:eastAsia="Times New Roman" w:cs="Calibri" w:asciiTheme="minorHAnsi" w:hAnsiTheme="minorHAnsi"/>
      <w:b/>
      <w:color w:val="auto"/>
      <w:sz w:val="22"/>
      <w:szCs w:val="20"/>
      <w:lang w:val="ru-RU" w:eastAsia="ru-RU" w:bidi="ar-SA"/>
    </w:rPr>
  </w:style>
  <w:style w:type="paragraph" w:styleId="722" w:customStyle="1">
    <w:name w:val="ConsPlusCell"/>
    <w:uiPriority w:val="0"/>
    <w:qFormat/>
    <w:pPr>
      <w:jc w:val="left"/>
      <w:spacing w:before="0" w:beforeAutospacing="0" w:after="0" w:afterAutospacing="0" w:line="240" w:lineRule="auto"/>
      <w:widowControl w:val="off"/>
    </w:pPr>
    <w:rPr>
      <w:rFonts w:hint="default" w:ascii="Courier New" w:hAnsi="Courier New" w:eastAsia="Times New Roman" w:cs="Courier New"/>
      <w:color w:val="auto"/>
      <w:sz w:val="20"/>
      <w:szCs w:val="20"/>
      <w:lang w:val="ru-RU" w:eastAsia="ru-RU" w:bidi="ar-SA"/>
    </w:rPr>
  </w:style>
  <w:style w:type="paragraph" w:styleId="723" w:customStyle="1">
    <w:name w:val="ConsPlusDocList"/>
    <w:uiPriority w:val="0"/>
    <w:qFormat/>
    <w:pPr>
      <w:jc w:val="left"/>
      <w:spacing w:before="0" w:beforeAutospacing="0" w:after="0" w:afterAutospacing="0" w:line="240" w:lineRule="auto"/>
      <w:widowControl w:val="off"/>
    </w:pPr>
    <w:rPr>
      <w:rFonts w:hint="default" w:eastAsia="Times New Roman" w:cs="Calibri" w:asciiTheme="minorHAnsi" w:hAnsiTheme="minorHAnsi"/>
      <w:color w:val="auto"/>
      <w:sz w:val="22"/>
      <w:szCs w:val="20"/>
      <w:lang w:val="ru-RU" w:eastAsia="ru-RU" w:bidi="ar-SA"/>
    </w:rPr>
  </w:style>
  <w:style w:type="paragraph" w:styleId="724" w:customStyle="1">
    <w:name w:val="ConsPlusTitlePage"/>
    <w:uiPriority w:val="0"/>
    <w:qFormat/>
    <w:pPr>
      <w:jc w:val="left"/>
      <w:spacing w:before="0" w:beforeAutospacing="0" w:after="0" w:afterAutospacing="0" w:line="240" w:lineRule="auto"/>
      <w:widowControl w:val="off"/>
    </w:pPr>
    <w:rPr>
      <w:rFonts w:hint="default" w:ascii="Tahoma" w:hAnsi="Tahoma" w:eastAsia="Times New Roman" w:cs="Tahoma"/>
      <w:color w:val="auto"/>
      <w:sz w:val="20"/>
      <w:szCs w:val="20"/>
      <w:lang w:val="ru-RU" w:eastAsia="ru-RU" w:bidi="ar-SA"/>
    </w:rPr>
  </w:style>
  <w:style w:type="paragraph" w:styleId="725" w:customStyle="1">
    <w:name w:val="ConsPlusJurTerm"/>
    <w:uiPriority w:val="0"/>
    <w:qFormat/>
    <w:pPr>
      <w:jc w:val="left"/>
      <w:spacing w:before="0" w:beforeAutospacing="0" w:after="0" w:afterAutospacing="0" w:line="240" w:lineRule="auto"/>
      <w:widowControl w:val="off"/>
    </w:pPr>
    <w:rPr>
      <w:rFonts w:hint="default" w:ascii="Tahoma" w:hAnsi="Tahoma" w:eastAsia="Times New Roman" w:cs="Tahoma"/>
      <w:color w:val="auto"/>
      <w:sz w:val="26"/>
      <w:szCs w:val="20"/>
      <w:lang w:val="ru-RU" w:eastAsia="ru-RU" w:bidi="ar-SA"/>
    </w:rPr>
  </w:style>
  <w:style w:type="paragraph" w:styleId="726" w:customStyle="1">
    <w:name w:val="ConsPlusTextList"/>
    <w:uiPriority w:val="0"/>
    <w:qFormat/>
    <w:pPr>
      <w:jc w:val="left"/>
      <w:spacing w:before="0" w:beforeAutospacing="0" w:after="0" w:afterAutospacing="0" w:line="240" w:lineRule="auto"/>
      <w:widowControl w:val="off"/>
    </w:pPr>
    <w:rPr>
      <w:rFonts w:hint="default" w:ascii="Arial" w:hAnsi="Arial" w:eastAsia="Times New Roman" w:cstheme="minorBidi"/>
      <w:color w:val="auto"/>
      <w:sz w:val="20"/>
      <w:szCs w:val="20"/>
      <w:lang w:val="ru-RU" w:eastAsia="ru-RU" w:bidi="ar-SA"/>
    </w:rPr>
  </w:style>
  <w:style w:type="paragraph" w:styleId="727" w:customStyle="1">
    <w:name w:val="Знак"/>
    <w:basedOn w:val="634"/>
    <w:uiPriority w:val="0"/>
    <w:qFormat/>
    <w:pPr>
      <w:spacing w:before="0" w:after="160" w:line="240" w:lineRule="exact"/>
    </w:pPr>
    <w:rPr>
      <w:rFonts w:ascii="Verdana" w:hAnsi="Verdana" w:eastAsia="Times New Roman" w:cs="Times New Roman"/>
      <w:sz w:val="20"/>
      <w:szCs w:val="20"/>
      <w:lang w:val="en-US"/>
    </w:rPr>
  </w:style>
  <w:style w:type="paragraph" w:styleId="728" w:customStyle="1">
    <w:name w:val="Знак1"/>
    <w:basedOn w:val="634"/>
    <w:uiPriority w:val="0"/>
    <w:qFormat/>
    <w:pPr>
      <w:spacing w:before="0" w:after="160" w:line="240" w:lineRule="exact"/>
    </w:pPr>
    <w:rPr>
      <w:rFonts w:ascii="Verdana" w:hAnsi="Verdana" w:eastAsia="Times New Roman" w:cs="Times New Roman"/>
      <w:sz w:val="20"/>
      <w:szCs w:val="20"/>
      <w:lang w:val="en-US"/>
    </w:rPr>
  </w:style>
  <w:style w:type="paragraph" w:styleId="729" w:customStyle="1">
    <w:name w:val="Содержимое врезки"/>
    <w:basedOn w:val="634"/>
    <w:uiPriority w:val="0"/>
    <w:qFormat/>
  </w:style>
  <w:style w:type="paragraph" w:styleId="730" w:customStyle="1">
    <w:name w:val="Содержимое таблицы"/>
    <w:basedOn w:val="634"/>
    <w:uiPriority w:val="0"/>
    <w:qFormat/>
    <w:pPr>
      <w:widowControl w:val="off"/>
      <w:suppressLineNumbers/>
    </w:pPr>
  </w:style>
  <w:style w:type="paragraph" w:styleId="731" w:customStyle="1">
    <w:name w:val="Заголовок таблицы"/>
    <w:basedOn w:val="730"/>
    <w:uiPriority w:val="0"/>
    <w:qFormat/>
    <w:pPr>
      <w:jc w:val="center"/>
      <w:suppressLineNumbers/>
    </w:pPr>
    <w:rPr>
      <w:b/>
      <w:bCs/>
    </w:rPr>
  </w:style>
  <w:style w:type="table" w:styleId="732" w:customStyle="1">
    <w:name w:val="Table Grid Light"/>
    <w:basedOn w:val="645"/>
    <w:uiPriority w:val="59"/>
    <w:qFormat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styleId="733" w:customStyle="1">
    <w:name w:val="Plain Table 1"/>
    <w:basedOn w:val="645"/>
    <w:uiPriority w:val="59"/>
    <w:qFormat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band1Horz">
      <w:tcPr>
        <w:shd w:val="clear" w:color="f1f1f1" w:fill="ffffff" w:themeFill="text1" w:themeFillTint="00"/>
      </w:tcPr>
    </w:tblStylePr>
    <w:tblStylePr w:type="band1Vert">
      <w:tcPr>
        <w:shd w:val="clear" w:color="f1f1f1" w:fill="ffffff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734" w:customStyle="1">
    <w:name w:val="Plain Table 2"/>
    <w:basedOn w:val="645"/>
    <w:uiPriority w:val="59"/>
    <w:qFormat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735" w:customStyle="1">
    <w:name w:val="Plain Table 3"/>
    <w:basedOn w:val="645"/>
    <w:uiPriority w:val="99"/>
    <w:qFormat/>
    <w:pPr>
      <w:spacing w:after="0" w:line="240" w:lineRule="auto"/>
    </w:pPr>
    <w:tblPr/>
    <w:tblStylePr w:type="band1Horz">
      <w:rPr>
        <w:sz w:val="22"/>
      </w:rPr>
      <w:tcPr>
        <w:shd w:val="clear" w:color="f1f1f1" w:fill="ffffff" w:themeFill="text1" w:themeFillTint="00"/>
      </w:tcPr>
    </w:tblStylePr>
    <w:tblStylePr w:type="band1Vert">
      <w:rPr>
        <w:sz w:val="22"/>
      </w:rPr>
      <w:tcPr>
        <w:shd w:val="clear" w:color="f1f1f1" w:fill="ffffff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736" w:customStyle="1">
    <w:name w:val="Plain Table 4"/>
    <w:basedOn w:val="645"/>
    <w:uiPriority w:val="99"/>
    <w:qFormat/>
    <w:pPr>
      <w:spacing w:after="0" w:line="240" w:lineRule="auto"/>
    </w:pPr>
    <w:tblPr/>
    <w:tblStylePr w:type="band1Horz">
      <w:rPr>
        <w:sz w:val="22"/>
      </w:rPr>
      <w:tcPr>
        <w:shd w:val="clear" w:color="f1f1f1" w:fill="ffffff" w:themeFill="text1" w:themeFillTint="00"/>
      </w:tcPr>
    </w:tblStylePr>
    <w:tblStylePr w:type="band1Vert">
      <w:rPr>
        <w:sz w:val="22"/>
      </w:rPr>
      <w:tcPr>
        <w:shd w:val="clear" w:color="f1f1f1" w:fill="ffffff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737" w:customStyle="1">
    <w:name w:val="Plain Table 5"/>
    <w:basedOn w:val="645"/>
    <w:uiPriority w:val="99"/>
    <w:qFormat/>
    <w:pPr>
      <w:spacing w:after="0" w:line="240" w:lineRule="auto"/>
    </w:pPr>
    <w:tblPr/>
    <w:tblStylePr w:type="band1Horz">
      <w:rPr>
        <w:sz w:val="22"/>
      </w:rPr>
      <w:tcPr>
        <w:shd w:val="clear" w:color="f1f1f1" w:fill="ffffff" w:themeFill="text1" w:themeFillTint="00"/>
      </w:tcPr>
    </w:tblStylePr>
    <w:tblStylePr w:type="band1Vert">
      <w:rPr>
        <w:sz w:val="22"/>
      </w:rPr>
      <w:tcPr>
        <w:shd w:val="clear" w:color="f1f1f1" w:fill="ffffff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1 Light"/>
    <w:basedOn w:val="645"/>
    <w:uiPriority w:val="99"/>
    <w:qFormat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39" w:customStyle="1">
    <w:name w:val="Grid Table 1 Light - Accent 1"/>
    <w:basedOn w:val="645"/>
    <w:uiPriority w:val="99"/>
    <w:qFormat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band1Horz">
      <w:rPr>
        <w:sz w:val="22"/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4F81BD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40" w:customStyle="1">
    <w:name w:val="Grid Table 1 Light - Accent 2"/>
    <w:basedOn w:val="645"/>
    <w:uiPriority w:val="99"/>
    <w:qFormat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band1Horz">
      <w:rPr>
        <w:sz w:val="22"/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C0504D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41" w:customStyle="1">
    <w:name w:val="Grid Table 1 Light - Accent 3"/>
    <w:basedOn w:val="645"/>
    <w:uiPriority w:val="99"/>
    <w:qFormat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sz w:val="22"/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BBB59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42" w:customStyle="1">
    <w:name w:val="Grid Table 1 Light - Accent 4"/>
    <w:basedOn w:val="645"/>
    <w:uiPriority w:val="99"/>
    <w:qFormat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sz w:val="22"/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8064A2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43" w:customStyle="1">
    <w:name w:val="Grid Table 1 Light - Accent 5"/>
    <w:basedOn w:val="645"/>
    <w:uiPriority w:val="99"/>
    <w:qFormat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band1Horz">
      <w:rPr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44" w:customStyle="1">
    <w:name w:val="Grid Table 1 Light - Accent 6"/>
    <w:basedOn w:val="645"/>
    <w:uiPriority w:val="99"/>
    <w:qFormat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45" w:customStyle="1">
    <w:name w:val="Grid Table 2"/>
    <w:basedOn w:val="645"/>
    <w:uiPriority w:val="99"/>
    <w:qFormat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band1Horz">
      <w:rPr>
        <w:sz w:val="22"/>
      </w:rPr>
      <w:tcPr>
        <w:shd w:val="clear" w:color="cacaca" w:fill="cacaca" w:themeFill="text1" w:themeFillTint="34"/>
      </w:tcPr>
    </w:tblStylePr>
    <w:tblStylePr w:type="band1Vert">
      <w:rPr>
        <w:sz w:val="22"/>
      </w:rPr>
      <w:tcPr>
        <w:shd w:val="clear" w:color="cacaca" w:fill="cacaca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1"/>
    <w:basedOn w:val="645"/>
    <w:uiPriority w:val="99"/>
    <w:qFormat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band1Horz">
      <w:rPr>
        <w:sz w:val="22"/>
      </w:rPr>
      <w:tcPr>
        <w:shd w:val="clear" w:color="dbe5f1" w:fill="dbe5f1" w:themeFill="accent1" w:themeFillTint="34"/>
      </w:tcPr>
    </w:tblStylePr>
    <w:tblStylePr w:type="band1Vert">
      <w:rPr>
        <w:sz w:val="22"/>
      </w:rPr>
      <w:tcPr>
        <w:shd w:val="clear" w:color="dbe5f1" w:fill="db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F81BD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2"/>
    <w:basedOn w:val="645"/>
    <w:uiPriority w:val="99"/>
    <w:qFormat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C0504D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3"/>
    <w:basedOn w:val="645"/>
    <w:uiPriority w:val="99"/>
    <w:qFormat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band1Horz">
      <w:rPr>
        <w:sz w:val="22"/>
      </w:rPr>
      <w:tcPr>
        <w:shd w:val="clear" w:color="eaf1dd" w:fill="eaf1dd" w:themeFill="accent3" w:themeFillTint="34"/>
      </w:tcPr>
    </w:tblStylePr>
    <w:tblStylePr w:type="band1Vert">
      <w:rPr>
        <w:sz w:val="22"/>
      </w:rPr>
      <w:tcPr>
        <w:shd w:val="clear" w:color="eaf1dd" w:fill="eaf1dd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BBB59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2 - Accent 4"/>
    <w:basedOn w:val="645"/>
    <w:uiPriority w:val="99"/>
    <w:qFormat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8064A2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2 - Accent 5"/>
    <w:basedOn w:val="645"/>
    <w:uiPriority w:val="99"/>
    <w:qFormat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2 - Accent 6"/>
    <w:basedOn w:val="645"/>
    <w:uiPriority w:val="99"/>
    <w:qFormat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sz w:val="22"/>
      </w:rPr>
      <w:tcPr>
        <w:shd w:val="clear" w:color="fde9d9" w:fill="fde9d9" w:themeFill="accent6" w:themeFillTint="34"/>
      </w:tcPr>
    </w:tblStylePr>
    <w:tblStylePr w:type="band1Vert">
      <w:rPr>
        <w:sz w:val="22"/>
      </w:rPr>
      <w:tcPr>
        <w:shd w:val="clear" w:color="fde9d9" w:fill="fde9d9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"/>
    <w:basedOn w:val="645"/>
    <w:uiPriority w:val="99"/>
    <w:qFormat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band1Horz">
      <w:rPr>
        <w:sz w:val="22"/>
      </w:rPr>
      <w:tcPr>
        <w:shd w:val="clear" w:color="cacaca" w:fill="cacaca" w:themeFill="text1" w:themeFillTint="34"/>
      </w:tcPr>
    </w:tblStylePr>
    <w:tblStylePr w:type="band1Vert">
      <w:rPr>
        <w:sz w:val="22"/>
      </w:rPr>
      <w:tcPr>
        <w:shd w:val="clear" w:color="cacaca" w:fill="cacaca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1"/>
    <w:basedOn w:val="645"/>
    <w:uiPriority w:val="99"/>
    <w:qFormat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band1Horz">
      <w:rPr>
        <w:sz w:val="22"/>
      </w:rPr>
      <w:tcPr>
        <w:shd w:val="clear" w:color="dbe5f1" w:fill="dbe5f1" w:themeFill="accent1" w:themeFillTint="34"/>
      </w:tcPr>
    </w:tblStylePr>
    <w:tblStylePr w:type="band1Vert">
      <w:rPr>
        <w:sz w:val="22"/>
      </w:rPr>
      <w:tcPr>
        <w:shd w:val="clear" w:color="dbe5f1" w:fill="dbe5f1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2"/>
    <w:basedOn w:val="645"/>
    <w:uiPriority w:val="99"/>
    <w:qFormat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3"/>
    <w:basedOn w:val="645"/>
    <w:uiPriority w:val="99"/>
    <w:qFormat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band1Horz">
      <w:rPr>
        <w:sz w:val="22"/>
      </w:rPr>
      <w:tcPr>
        <w:shd w:val="clear" w:color="eaf1dd" w:fill="eaf1dd" w:themeFill="accent3" w:themeFillTint="34"/>
      </w:tcPr>
    </w:tblStylePr>
    <w:tblStylePr w:type="band1Vert">
      <w:rPr>
        <w:sz w:val="22"/>
      </w:rPr>
      <w:tcPr>
        <w:shd w:val="clear" w:color="eaf1dd" w:fill="eaf1dd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3 - Accent 4"/>
    <w:basedOn w:val="645"/>
    <w:uiPriority w:val="99"/>
    <w:qFormat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3 - Accent 5"/>
    <w:basedOn w:val="645"/>
    <w:uiPriority w:val="99"/>
    <w:qFormat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3 - Accent 6"/>
    <w:basedOn w:val="645"/>
    <w:uiPriority w:val="99"/>
    <w:qFormat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sz w:val="22"/>
      </w:rPr>
      <w:tcPr>
        <w:shd w:val="clear" w:color="fde9d9" w:fill="fde9d9" w:themeFill="accent6" w:themeFillTint="34"/>
      </w:tcPr>
    </w:tblStylePr>
    <w:tblStylePr w:type="band1Vert">
      <w:rPr>
        <w:sz w:val="22"/>
      </w:rPr>
      <w:tcPr>
        <w:shd w:val="clear" w:color="fde9d9" w:fill="fde9d9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4"/>
    <w:basedOn w:val="645"/>
    <w:uiPriority w:val="59"/>
    <w:qFormat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band1Horz">
      <w:rPr>
        <w:sz w:val="22"/>
      </w:rPr>
      <w:tcPr>
        <w:shd w:val="clear" w:color="cacaca" w:fill="cacaca" w:themeFill="text1" w:themeFillTint="34"/>
      </w:tcPr>
    </w:tblStylePr>
    <w:tblStylePr w:type="band1Vert">
      <w:rPr>
        <w:sz w:val="22"/>
      </w:rPr>
      <w:tcPr>
        <w:shd w:val="clear" w:color="cacaca" w:fill="cacaca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760" w:customStyle="1">
    <w:name w:val="Grid Table 4 - Accent 1"/>
    <w:basedOn w:val="645"/>
    <w:uiPriority w:val="59"/>
    <w:qFormat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sz w:val="22"/>
      </w:rPr>
      <w:tcPr>
        <w:shd w:val="clear" w:color="dce6f2" w:fill="dce6f2" w:themeFill="accent1" w:themeFillTint="32"/>
      </w:tcPr>
    </w:tblStylePr>
    <w:tblStylePr w:type="band1Vert">
      <w:rPr>
        <w:sz w:val="22"/>
      </w:rPr>
      <w:tcPr>
        <w:shd w:val="clear" w:color="dce6f2" w:fill="dce6f2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d8bc2" w:fill="5d8bc2" w:themeFill="accent1" w:themeFillTint="EA"/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F81BD" w:themeColor="accent1" w:sz="4" w:space="0"/>
        </w:tcBorders>
      </w:tcPr>
    </w:tblStylePr>
  </w:style>
  <w:style w:type="table" w:styleId="761" w:customStyle="1">
    <w:name w:val="Grid Table 4 - Accent 2"/>
    <w:basedOn w:val="645"/>
    <w:uiPriority w:val="59"/>
    <w:qFormat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d99795" w:fill="d99795" w:themeFill="accent2" w:themeFillTint="97"/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C0504D" w:themeColor="accent2" w:sz="4" w:space="0"/>
        </w:tcBorders>
      </w:tcPr>
    </w:tblStylePr>
  </w:style>
  <w:style w:type="table" w:styleId="762" w:customStyle="1">
    <w:name w:val="Grid Table 4 - Accent 3"/>
    <w:basedOn w:val="645"/>
    <w:uiPriority w:val="59"/>
    <w:qFormat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sz w:val="22"/>
      </w:rPr>
      <w:tcPr>
        <w:shd w:val="clear" w:color="eaf1dd" w:fill="eaf1dd" w:themeFill="accent3" w:themeFillTint="34"/>
      </w:tcPr>
    </w:tblStylePr>
    <w:tblStylePr w:type="band1Vert">
      <w:rPr>
        <w:sz w:val="22"/>
      </w:rPr>
      <w:tcPr>
        <w:shd w:val="clear" w:color="eaf1dd" w:fill="eaf1dd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bbb59" w:fill="9bbb59" w:themeFill="accent3" w:themeFillTint="FE"/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BBB59" w:themeColor="accent3" w:sz="4" w:space="0"/>
        </w:tcBorders>
      </w:tcPr>
    </w:tblStylePr>
  </w:style>
  <w:style w:type="table" w:styleId="763" w:customStyle="1">
    <w:name w:val="Grid Table 4 - Accent 4"/>
    <w:basedOn w:val="645"/>
    <w:uiPriority w:val="59"/>
    <w:qFormat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b2a1c6" w:fill="b2a1c6" w:themeFill="accent4" w:themeFillTint="9A"/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8064A2" w:themeColor="accent4" w:sz="4" w:space="0"/>
        </w:tcBorders>
      </w:tcPr>
    </w:tblStylePr>
  </w:style>
  <w:style w:type="table" w:styleId="764" w:customStyle="1">
    <w:name w:val="Grid Table 4 - Accent 5"/>
    <w:basedOn w:val="645"/>
    <w:uiPriority w:val="59"/>
    <w:qFormat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bacc6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</w:tcBorders>
      </w:tcPr>
    </w:tblStylePr>
  </w:style>
  <w:style w:type="table" w:styleId="765" w:customStyle="1">
    <w:name w:val="Grid Table 4 - Accent 6"/>
    <w:basedOn w:val="645"/>
    <w:uiPriority w:val="59"/>
    <w:qFormat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sz w:val="22"/>
      </w:rPr>
      <w:tcPr>
        <w:shd w:val="clear" w:color="fde9d9" w:fill="fde9d9" w:themeFill="accent6" w:themeFillTint="34"/>
      </w:tcPr>
    </w:tblStylePr>
    <w:tblStylePr w:type="band1Vert">
      <w:rPr>
        <w:sz w:val="22"/>
      </w:rPr>
      <w:tcPr>
        <w:shd w:val="clear" w:color="fde9d9" w:fill="fde9d9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7964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</w:tcBorders>
      </w:tcPr>
    </w:tblStylePr>
  </w:style>
  <w:style w:type="table" w:styleId="766" w:customStyle="1">
    <w:name w:val="Grid Table 5 Dark"/>
    <w:basedOn w:val="645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898989" w:fill="898989" w:themeFill="text1" w:themeFillTint="75"/>
      </w:tcPr>
    </w:tblStylePr>
    <w:tblStylePr w:type="band1Vert">
      <w:tcPr>
        <w:shd w:val="clear" w:color="898989" w:fill="898989" w:themeFill="text1" w:themeFillTint="75"/>
      </w:tcPr>
    </w:tblStylePr>
    <w:tblStylePr w:type="firstCol">
      <w:rPr>
        <w:b/>
        <w:sz w:val="22"/>
      </w:rPr>
      <w:tcPr>
        <w:shd w:val="clear" w:color="000000" w:fill="000000" w:themeFill="text1"/>
      </w:tc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  <w:sz w:val="22"/>
      </w:rPr>
      <w:tcPr>
        <w:shd w:val="clear" w:color="000000" w:fill="000000" w:themeFill="text1"/>
      </w:tcPr>
    </w:tblStylePr>
    <w:tblStylePr w:type="lastRow">
      <w:rPr>
        <w:b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- Accent 1"/>
    <w:basedOn w:val="645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ec5e0" w:fill="aec5e0" w:themeFill="accent1" w:themeFillTint="75"/>
      </w:tcPr>
    </w:tblStylePr>
    <w:tblStylePr w:type="band1Vert">
      <w:tcPr>
        <w:shd w:val="clear" w:color="aec5e0" w:fill="aec5e0" w:themeFill="accent1" w:themeFillTint="75"/>
      </w:tcPr>
    </w:tblStylePr>
    <w:tblStylePr w:type="firstCol">
      <w:rPr>
        <w:b/>
        <w:sz w:val="22"/>
      </w:rPr>
      <w:tcPr>
        <w:shd w:val="clear" w:color="4f81bd" w:fill="4f81bd" w:themeFill="accent1"/>
      </w:tc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  <w:sz w:val="22"/>
      </w:rPr>
      <w:tcPr>
        <w:shd w:val="clear" w:color="4f81bd" w:fill="4f81bd" w:themeFill="accent1"/>
      </w:tcPr>
    </w:tblStylePr>
    <w:tblStylePr w:type="lastRow">
      <w:rPr>
        <w:b/>
        <w:sz w:val="22"/>
      </w:rPr>
      <w:tcPr>
        <w:shd w:val="clear" w:color="4f81bd" w:fill="4f81bd" w:themeFill="accent1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 - Accent 2"/>
    <w:basedOn w:val="645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e2aead" w:fill="e2aead" w:themeFill="accent2" w:themeFillTint="75"/>
      </w:tcPr>
    </w:tblStylePr>
    <w:tblStylePr w:type="band1Vert">
      <w:tcPr>
        <w:shd w:val="clear" w:color="e2aead" w:fill="e2aead" w:themeFill="accent2" w:themeFillTint="75"/>
      </w:tcPr>
    </w:tblStylePr>
    <w:tblStylePr w:type="firstCol">
      <w:rPr>
        <w:b/>
        <w:sz w:val="22"/>
      </w:rPr>
      <w:tcPr>
        <w:shd w:val="clear" w:color="c0504d" w:fill="c0504d" w:themeFill="accent2"/>
      </w:tcPr>
    </w:tblStylePr>
    <w:tblStylePr w:type="firstRow">
      <w:rPr>
        <w:b/>
        <w:sz w:val="22"/>
      </w:rPr>
      <w:tcPr>
        <w:shd w:val="clear" w:color="c0504d" w:fill="c0504d" w:themeFill="accent2"/>
      </w:tcPr>
    </w:tblStylePr>
    <w:tblStylePr w:type="lastCol">
      <w:rPr>
        <w:b/>
        <w:sz w:val="22"/>
      </w:rPr>
      <w:tcPr>
        <w:shd w:val="clear" w:color="c0504d" w:fill="c0504d" w:themeFill="accent2"/>
      </w:tcPr>
    </w:tblStylePr>
    <w:tblStylePr w:type="lastRow">
      <w:rPr>
        <w:b/>
        <w:sz w:val="22"/>
      </w:rPr>
      <w:tcPr>
        <w:shd w:val="clear" w:color="c0504d" w:fill="c0504d" w:themeFill="accent2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5 Dark - Accent 3"/>
    <w:basedOn w:val="645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d1dfb2" w:fill="d1dfb2" w:themeFill="accent3" w:themeFillTint="75"/>
      </w:tcPr>
    </w:tblStylePr>
    <w:tblStylePr w:type="band1Vert">
      <w:tcPr>
        <w:shd w:val="clear" w:color="d1dfb2" w:fill="d1dfb2" w:themeFill="accent3" w:themeFillTint="75"/>
      </w:tcPr>
    </w:tblStylePr>
    <w:tblStylePr w:type="firstCol">
      <w:rPr>
        <w:b/>
        <w:sz w:val="22"/>
      </w:rPr>
      <w:tcPr>
        <w:shd w:val="clear" w:color="9bbb59" w:fill="9bbb59" w:themeFill="accent3"/>
      </w:tcPr>
    </w:tblStylePr>
    <w:tblStylePr w:type="firstRow">
      <w:rPr>
        <w:b/>
        <w:sz w:val="22"/>
      </w:rPr>
      <w:tcPr>
        <w:shd w:val="clear" w:color="9bbb59" w:fill="9bbb59" w:themeFill="accent3"/>
      </w:tcPr>
    </w:tblStylePr>
    <w:tblStylePr w:type="lastCol">
      <w:rPr>
        <w:b/>
        <w:sz w:val="22"/>
      </w:rPr>
      <w:tcPr>
        <w:shd w:val="clear" w:color="9bbb59" w:fill="9bbb59" w:themeFill="accent3"/>
      </w:tcPr>
    </w:tblStylePr>
    <w:tblStylePr w:type="lastRow">
      <w:rPr>
        <w:b/>
        <w:sz w:val="22"/>
      </w:rPr>
      <w:tcPr>
        <w:shd w:val="clear" w:color="9bbb59" w:fill="9bbb59" w:themeFill="accent3"/>
        <w:tcBorders>
          <w:top w:val="single" w:color="FFFFFF" w:themeColor="light1" w:sz="4" w:space="0"/>
        </w:tcBorders>
      </w:tcPr>
    </w:tblStylePr>
  </w:style>
  <w:style w:type="table" w:styleId="770" w:customStyle="1">
    <w:name w:val="Grid Table 5 Dark- Accent 4"/>
    <w:basedOn w:val="645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c4b7d4" w:fill="c4b7d4" w:themeFill="accent4" w:themeFillTint="75"/>
      </w:tcPr>
    </w:tblStylePr>
    <w:tblStylePr w:type="band1Vert">
      <w:tcPr>
        <w:shd w:val="clear" w:color="c4b7d4" w:fill="c4b7d4" w:themeFill="accent4" w:themeFillTint="75"/>
      </w:tcPr>
    </w:tblStylePr>
    <w:tblStylePr w:type="firstCol">
      <w:rPr>
        <w:b/>
        <w:sz w:val="22"/>
      </w:rPr>
      <w:tcPr>
        <w:shd w:val="clear" w:color="8064a2" w:fill="8064a2" w:themeFill="accent4"/>
      </w:tcPr>
    </w:tblStylePr>
    <w:tblStylePr w:type="firstRow">
      <w:rPr>
        <w:b/>
        <w:sz w:val="22"/>
      </w:rPr>
      <w:tcPr>
        <w:shd w:val="clear" w:color="8064a2" w:fill="8064a2" w:themeFill="accent4"/>
      </w:tcPr>
    </w:tblStylePr>
    <w:tblStylePr w:type="lastCol">
      <w:rPr>
        <w:b/>
        <w:sz w:val="22"/>
      </w:rPr>
      <w:tcPr>
        <w:shd w:val="clear" w:color="8064a2" w:fill="8064a2" w:themeFill="accent4"/>
      </w:tcPr>
    </w:tblStylePr>
    <w:tblStylePr w:type="lastRow">
      <w:rPr>
        <w:b/>
        <w:sz w:val="22"/>
      </w:rPr>
      <w:tcPr>
        <w:shd w:val="clear" w:color="8064a2" w:fill="8064a2" w:themeFill="accent4"/>
        <w:tcBorders>
          <w:top w:val="single" w:color="FFFFFF" w:themeColor="light1" w:sz="4" w:space="0"/>
        </w:tcBorders>
      </w:tcPr>
    </w:tblStylePr>
  </w:style>
  <w:style w:type="table" w:styleId="771" w:customStyle="1">
    <w:name w:val="Grid Table 5 Dark - Accent 5"/>
    <w:basedOn w:val="645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cd8e4" w:fill="acd8e4" w:themeFill="accent5" w:themeFillTint="75"/>
      </w:tcPr>
    </w:tblStylePr>
    <w:tblStylePr w:type="band1Vert">
      <w:tcPr>
        <w:shd w:val="clear" w:color="acd8e4" w:fill="acd8e4" w:themeFill="accent5" w:themeFillTint="75"/>
      </w:tcPr>
    </w:tblStylePr>
    <w:tblStylePr w:type="firstCol">
      <w:rPr>
        <w:b/>
        <w:sz w:val="22"/>
      </w:rPr>
      <w:tcPr>
        <w:shd w:val="clear" w:color="4bacc6" w:fill="4bacc6" w:themeFill="accent5"/>
      </w:tcPr>
    </w:tblStylePr>
    <w:tblStylePr w:type="firstRow">
      <w:rPr>
        <w:b/>
        <w:sz w:val="22"/>
      </w:rPr>
      <w:tcPr>
        <w:shd w:val="clear" w:color="4bacc6" w:fill="4bacc6" w:themeFill="accent5"/>
      </w:tcPr>
    </w:tblStylePr>
    <w:tblStylePr w:type="lastCol">
      <w:rPr>
        <w:b/>
        <w:sz w:val="22"/>
      </w:rPr>
      <w:tcPr>
        <w:shd w:val="clear" w:color="4bacc6" w:fill="4bacc6" w:themeFill="accent5"/>
      </w:tcPr>
    </w:tblStylePr>
    <w:tblStylePr w:type="lastRow">
      <w:rPr>
        <w:b/>
        <w:sz w:val="22"/>
      </w:rPr>
      <w:tcPr>
        <w:shd w:val="clear" w:color="4bacc6" w:fill="4bacc6" w:themeFill="accent5"/>
        <w:tcBorders>
          <w:top w:val="single" w:color="FFFFFF" w:themeColor="light1" w:sz="4" w:space="0"/>
        </w:tcBorders>
      </w:tcPr>
    </w:tblStylePr>
  </w:style>
  <w:style w:type="table" w:styleId="772" w:customStyle="1">
    <w:name w:val="Grid Table 5 Dark - Accent 6"/>
    <w:basedOn w:val="645"/>
    <w:uiPriority w:val="99"/>
    <w:qFormat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bceaa" w:fill="fbceaa" w:themeFill="accent6" w:themeFillTint="75"/>
      </w:tcPr>
    </w:tblStylePr>
    <w:tblStylePr w:type="band1Vert">
      <w:tcPr>
        <w:shd w:val="clear" w:color="fbceaa" w:fill="fbceaa" w:themeFill="accent6" w:themeFillTint="75"/>
      </w:tcPr>
    </w:tblStylePr>
    <w:tblStylePr w:type="firstCol">
      <w:rPr>
        <w:b/>
        <w:sz w:val="22"/>
      </w:rPr>
      <w:tcPr>
        <w:shd w:val="clear" w:color="f79646" w:fill="f79646" w:themeFill="accent6"/>
      </w:tcPr>
    </w:tblStylePr>
    <w:tblStylePr w:type="firstRow">
      <w:rPr>
        <w:b/>
        <w:sz w:val="22"/>
      </w:rPr>
      <w:tcPr>
        <w:shd w:val="clear" w:color="f79646" w:fill="f79646" w:themeFill="accent6"/>
      </w:tcPr>
    </w:tblStylePr>
    <w:tblStylePr w:type="lastCol">
      <w:rPr>
        <w:b/>
        <w:sz w:val="22"/>
      </w:rPr>
      <w:tcPr>
        <w:shd w:val="clear" w:color="f79646" w:fill="f79646" w:themeFill="accent6"/>
      </w:tcPr>
    </w:tblStylePr>
    <w:tblStylePr w:type="lastRow">
      <w:rPr>
        <w:b/>
        <w:sz w:val="22"/>
      </w:rPr>
      <w:tcPr>
        <w:shd w:val="clear" w:color="f79646" w:fill="f79646" w:themeFill="accent6"/>
        <w:tcBorders>
          <w:top w:val="single" w:color="FFFFFF" w:themeColor="light1" w:sz="4" w:space="0"/>
        </w:tcBorders>
      </w:tcPr>
    </w:tblStylePr>
  </w:style>
  <w:style w:type="table" w:styleId="773" w:customStyle="1">
    <w:name w:val="Grid Table 6 Colorful"/>
    <w:basedOn w:val="645"/>
    <w:uiPriority w:val="99"/>
    <w:qFormat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band1Horz">
      <w:rPr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fill="cacaca" w:themeFill="text1" w:themeFillTint="34"/>
      </w:tcPr>
    </w:tblStylePr>
    <w:tblStylePr w:type="band1Vert">
      <w:tcPr>
        <w:shd w:val="clear" w:color="cacaca" w:fill="cacaca" w:themeFill="text1" w:themeFillTint="34"/>
      </w:tcPr>
    </w:tblStylePr>
    <w:tblStylePr w:type="band2Horz">
      <w:rPr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styleId="774" w:customStyle="1">
    <w:name w:val="Grid Table 6 Colorful - Accent 1"/>
    <w:basedOn w:val="645"/>
    <w:uiPriority w:val="99"/>
    <w:qFormat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fill="dbe5f1" w:themeFill="accent1" w:themeFillTint="34"/>
      </w:tcPr>
    </w:tblStylePr>
    <w:tblStylePr w:type="band1Vert">
      <w:tcPr>
        <w:shd w:val="clear" w:color="dbe5f1" w:fill="dbe5f1" w:themeFill="accent1" w:themeFillTint="34"/>
      </w:tcPr>
    </w:tblStylePr>
    <w:tblStylePr w:type="band2Horz">
      <w:rPr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4F81BD" w:themeColor="accent1" w:sz="12" w:space="0"/>
        </w:tcBorders>
      </w:tc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styleId="775" w:customStyle="1">
    <w:name w:val="Grid Table 6 Colorful - Accent 2"/>
    <w:basedOn w:val="645"/>
    <w:uiPriority w:val="99"/>
    <w:qFormat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band1Horz">
      <w:rPr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C0504D" w:themeColor="accent2" w:sz="12" w:space="0"/>
        </w:tcBorders>
      </w:tc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styleId="776" w:customStyle="1">
    <w:name w:val="Grid Table 6 Colorful - Accent 3"/>
    <w:basedOn w:val="645"/>
    <w:uiPriority w:val="99"/>
    <w:qFormat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band1Horz">
      <w:rPr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fill="eaf1dd" w:themeFill="accent3" w:themeFillTint="34"/>
      </w:tcPr>
    </w:tblStylePr>
    <w:tblStylePr w:type="band1Vert">
      <w:tcPr>
        <w:shd w:val="clear" w:color="eaf1dd" w:fill="eaf1dd" w:themeFill="accent3" w:themeFillTint="34"/>
      </w:tcPr>
    </w:tblStylePr>
    <w:tblStylePr w:type="band2Horz">
      <w:rPr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sz="12" w:space="0"/>
        </w:tcBorders>
      </w:tc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styleId="777" w:customStyle="1">
    <w:name w:val="Grid Table 6 Colorful - Accent 4"/>
    <w:basedOn w:val="645"/>
    <w:uiPriority w:val="99"/>
    <w:qFormat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8064A2" w:themeColor="accent4" w:sz="12" w:space="0"/>
        </w:tcBorders>
      </w:tc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styleId="778" w:customStyle="1">
    <w:name w:val="Grid Table 6 Colorful - Accent 5"/>
    <w:basedOn w:val="645"/>
    <w:uiPriority w:val="99"/>
    <w:qFormat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color w:val="266778" w:themeColor="accent5" w:themeShade="94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8" w:themeColor="accent5" w:themeShade="94"/>
        <w:sz w:val="22"/>
      </w:rPr>
    </w:tblStylePr>
    <w:tblStylePr w:type="firstCol">
      <w:rPr>
        <w:b/>
        <w:color w:val="266778" w:themeColor="accent5" w:themeShade="94"/>
      </w:rPr>
    </w:tblStyle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8" w:themeColor="accent5" w:themeShade="94"/>
      </w:rPr>
    </w:tblStylePr>
    <w:tblStylePr w:type="lastRow">
      <w:rPr>
        <w:b/>
        <w:color w:val="266778" w:themeColor="accent5" w:themeShade="94"/>
      </w:rPr>
    </w:tblStylePr>
  </w:style>
  <w:style w:type="table" w:styleId="779" w:customStyle="1">
    <w:name w:val="Grid Table 6 Colorful - Accent 6"/>
    <w:basedOn w:val="645"/>
    <w:uiPriority w:val="99"/>
    <w:qFormat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color w:val="266778" w:themeColor="accent5" w:themeShade="94"/>
        <w:sz w:val="22"/>
      </w:rPr>
      <w:tcPr>
        <w:shd w:val="clear" w:color="fde9d9" w:fill="fde9d9" w:themeFill="accent6" w:themeFillTint="34"/>
      </w:tcPr>
    </w:tblStylePr>
    <w:tblStylePr w:type="band1Vert">
      <w:tcPr>
        <w:shd w:val="clear" w:color="fde9d9" w:fill="fde9d9" w:themeFill="accent6" w:themeFillTint="34"/>
      </w:tcPr>
    </w:tblStylePr>
    <w:tblStylePr w:type="band2Horz">
      <w:rPr>
        <w:color w:val="266778" w:themeColor="accent5" w:themeShade="94"/>
        <w:sz w:val="22"/>
      </w:rPr>
    </w:tblStylePr>
    <w:tblStylePr w:type="firstCol">
      <w:rPr>
        <w:b/>
        <w:color w:val="266778" w:themeColor="accent5" w:themeShade="94"/>
      </w:rPr>
    </w:tblStyle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8" w:themeColor="accent5" w:themeShade="94"/>
      </w:rPr>
    </w:tblStylePr>
    <w:tblStylePr w:type="lastRow">
      <w:rPr>
        <w:b/>
        <w:color w:val="266778" w:themeColor="accent5" w:themeShade="94"/>
      </w:rPr>
    </w:tblStylePr>
  </w:style>
  <w:style w:type="table" w:styleId="780" w:customStyle="1">
    <w:name w:val="Grid Table 7 Colorful"/>
    <w:basedOn w:val="645"/>
    <w:uiPriority w:val="99"/>
    <w:qFormat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band1Horz">
      <w:rPr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fill="ffffff" w:themeFill="text1" w:themeFillTint="00"/>
      </w:tcPr>
    </w:tblStylePr>
    <w:tblStylePr w:type="band1Vert">
      <w:tcPr>
        <w:shd w:val="clear" w:color="f1f1f1" w:fill="ffffff" w:themeFill="text1" w:themeFillTint="00"/>
      </w:tcPr>
    </w:tblStylePr>
    <w:tblStylePr w:type="band2Horz">
      <w:rPr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7 Colorful - Accent 1"/>
    <w:basedOn w:val="645"/>
    <w:uiPriority w:val="99"/>
    <w:qFormat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fill="dbe5f1" w:themeFill="accent1" w:themeFillTint="34"/>
      </w:tcPr>
    </w:tblStylePr>
    <w:tblStylePr w:type="band1Vert">
      <w:tcPr>
        <w:shd w:val="clear" w:color="dbe5f1" w:fill="dbe5f1" w:themeFill="accent1" w:themeFillTint="34"/>
      </w:tcPr>
    </w:tblStylePr>
    <w:tblStylePr w:type="band2Horz">
      <w:rPr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7 Colorful - Accent 2"/>
    <w:basedOn w:val="645"/>
    <w:uiPriority w:val="99"/>
    <w:qFormat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band1Horz">
      <w:rPr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</w:tcPr>
    </w:tblStylePr>
    <w:tblStylePr w:type="firstRow">
      <w:rPr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fffff" w:themeFill="light1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7 Colorful - Accent 3"/>
    <w:basedOn w:val="645"/>
    <w:uiPriority w:val="99"/>
    <w:qFormat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band1Horz">
      <w:rPr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fill="eaf1dd" w:themeFill="accent3" w:themeFillTint="34"/>
      </w:tcPr>
    </w:tblStylePr>
    <w:tblStylePr w:type="band1Vert">
      <w:tcPr>
        <w:shd w:val="clear" w:color="eaf1dd" w:fill="eaf1dd" w:themeFill="accent3" w:themeFillTint="34"/>
      </w:tcPr>
    </w:tblStylePr>
    <w:tblStylePr w:type="band2Horz">
      <w:rPr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</w:tcPr>
    </w:tblStylePr>
    <w:tblStylePr w:type="firstRow">
      <w:rPr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ffffff" w:themeFill="light1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7 Colorful - Accent 4"/>
    <w:basedOn w:val="645"/>
    <w:uiPriority w:val="99"/>
    <w:qFormat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</w:tcPr>
    </w:tblStylePr>
    <w:tblStylePr w:type="firstRow">
      <w:rPr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ffffff" w:themeFill="light1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7 Colorful - Accent 5"/>
    <w:basedOn w:val="645"/>
    <w:uiPriority w:val="99"/>
    <w:qFormat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color w:val="266778" w:themeColor="accent5" w:themeShade="94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8" w:themeColor="accent5" w:themeShade="94"/>
        <w:sz w:val="22"/>
      </w:rPr>
    </w:tblStylePr>
    <w:tblStylePr w:type="firstCol">
      <w:rPr>
        <w:i/>
        <w:color w:val="266778" w:themeColor="accent5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</w:tcPr>
    </w:tblStylePr>
    <w:tblStylePr w:type="firstRow">
      <w:rPr>
        <w:b/>
        <w:color w:val="266778" w:themeColor="accent5" w:themeShade="94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i/>
        <w:color w:val="266778" w:themeColor="accent5" w:themeShade="94"/>
        <w:sz w:val="22"/>
      </w:rPr>
      <w:tcPr>
        <w:shd w:val="clear" w:color="ffffff" w:fill="auto"/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8" w:themeColor="accent5" w:themeShade="94"/>
        <w:sz w:val="22"/>
      </w:rPr>
      <w:tcPr>
        <w:shd w:val="clear" w:color="ffffff" w:fill="ffffff" w:themeFill="light1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7 Colorful - Accent 6"/>
    <w:basedOn w:val="645"/>
    <w:uiPriority w:val="99"/>
    <w:qFormat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color w:val="b05408" w:themeColor="accent6" w:themeShade="94"/>
        <w:sz w:val="22"/>
      </w:rPr>
      <w:tcPr>
        <w:shd w:val="clear" w:color="fde9d9" w:fill="fde9d9" w:themeFill="accent6" w:themeFillTint="34"/>
      </w:tcPr>
    </w:tblStylePr>
    <w:tblStylePr w:type="band1Vert">
      <w:tcPr>
        <w:shd w:val="clear" w:color="fde9d9" w:fill="fde9d9" w:themeFill="accent6" w:themeFillTint="34"/>
      </w:tcPr>
    </w:tblStylePr>
    <w:tblStylePr w:type="band2Horz">
      <w:rPr>
        <w:color w:val="b05408" w:themeColor="accent6" w:themeShade="94"/>
        <w:sz w:val="22"/>
      </w:rPr>
    </w:tblStylePr>
    <w:tblStylePr w:type="firstCol">
      <w:rPr>
        <w:i/>
        <w:color w:val="b05408" w:themeColor="accent6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</w:tcPr>
    </w:tblStylePr>
    <w:tblStylePr w:type="firstRow">
      <w:rPr>
        <w:b/>
        <w:color w:val="b05408" w:themeColor="accent6" w:themeShade="94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i/>
        <w:color w:val="b05408" w:themeColor="accent6" w:themeShade="94"/>
        <w:sz w:val="22"/>
      </w:rPr>
      <w:tcPr>
        <w:shd w:val="clear" w:color="ffffff" w:fill="auto"/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408" w:themeColor="accent6" w:themeShade="94"/>
        <w:sz w:val="22"/>
      </w:rPr>
      <w:tcPr>
        <w:shd w:val="clear" w:color="ffffff" w:fill="ffffff" w:themeFill="light1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"/>
    <w:basedOn w:val="645"/>
    <w:uiPriority w:val="99"/>
    <w:qFormat/>
    <w:pPr>
      <w:spacing w:after="0" w:line="240" w:lineRule="auto"/>
    </w:pPr>
    <w:tblPr/>
    <w:tblStylePr w:type="band1Horz">
      <w:tcPr>
        <w:shd w:val="clear" w:color="bebebe" w:fill="bebebe" w:themeFill="text1" w:themeFillTint="40"/>
      </w:tcPr>
    </w:tblStylePr>
    <w:tblStylePr w:type="band1Vert">
      <w:tcPr>
        <w:shd w:val="clear" w:color="bebebe" w:fill="bebebe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1"/>
    <w:basedOn w:val="645"/>
    <w:uiPriority w:val="99"/>
    <w:qFormat/>
    <w:pPr>
      <w:spacing w:after="0" w:line="240" w:lineRule="auto"/>
    </w:pPr>
    <w:tblPr/>
    <w:tblStylePr w:type="band1Horz"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2"/>
    <w:basedOn w:val="645"/>
    <w:uiPriority w:val="99"/>
    <w:qFormat/>
    <w:pPr>
      <w:spacing w:after="0" w:line="240" w:lineRule="auto"/>
    </w:pPr>
    <w:tblPr/>
    <w:tblStylePr w:type="band1Horz">
      <w:tcPr>
        <w:shd w:val="clear" w:color="efd3d2" w:fill="efd3d2" w:themeFill="accent2" w:themeFillTint="40"/>
      </w:tcPr>
    </w:tblStylePr>
    <w:tblStylePr w:type="band1Vert">
      <w:tcPr>
        <w:shd w:val="clear" w:color="efd3d2" w:fill="efd3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3"/>
    <w:basedOn w:val="645"/>
    <w:uiPriority w:val="99"/>
    <w:qFormat/>
    <w:pPr>
      <w:spacing w:after="0" w:line="240" w:lineRule="auto"/>
    </w:pPr>
    <w:tblPr/>
    <w:tblStylePr w:type="band1Horz">
      <w:tcPr>
        <w:shd w:val="clear" w:color="e5edd5" w:fill="e5edd5" w:themeFill="accent3" w:themeFillTint="40"/>
      </w:tcPr>
    </w:tblStylePr>
    <w:tblStylePr w:type="band1Vert">
      <w:tcPr>
        <w:shd w:val="clear" w:color="e5edd5" w:fill="e5ed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1 Light - Accent 4"/>
    <w:basedOn w:val="645"/>
    <w:uiPriority w:val="99"/>
    <w:qFormat/>
    <w:pPr>
      <w:spacing w:after="0" w:line="240" w:lineRule="auto"/>
    </w:pPr>
    <w:tblPr/>
    <w:tblStylePr w:type="band1Horz"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1 Light - Accent 5"/>
    <w:basedOn w:val="645"/>
    <w:uiPriority w:val="99"/>
    <w:qFormat/>
    <w:pPr>
      <w:spacing w:after="0" w:line="240" w:lineRule="auto"/>
    </w:pPr>
    <w:tblPr/>
    <w:tblStylePr w:type="band1Horz"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1 Light - Accent 6"/>
    <w:basedOn w:val="645"/>
    <w:uiPriority w:val="99"/>
    <w:qFormat/>
    <w:pPr>
      <w:spacing w:after="0" w:line="240" w:lineRule="auto"/>
    </w:pPr>
    <w:tblPr/>
    <w:tblStylePr w:type="band1Horz">
      <w:tcPr>
        <w:shd w:val="clear" w:color="fce4d0" w:fill="fce4d0" w:themeFill="accent6" w:themeFillTint="40"/>
      </w:tcPr>
    </w:tblStylePr>
    <w:tblStylePr w:type="band1Vert">
      <w:tcPr>
        <w:shd w:val="clear" w:color="fce4d0" w:fill="fce4d0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2"/>
    <w:basedOn w:val="645"/>
    <w:uiPriority w:val="99"/>
    <w:qFormat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band1Horz">
      <w:rPr>
        <w:sz w:val="22"/>
      </w:rPr>
      <w:tcPr>
        <w:shd w:val="clear" w:color="bebebe" w:fill="bebebe" w:themeFill="text1" w:themeFillTint="40"/>
      </w:tcPr>
    </w:tblStylePr>
    <w:tblStylePr w:type="band1Vert">
      <w:rPr>
        <w:sz w:val="22"/>
      </w:rPr>
      <w:tcPr>
        <w:shd w:val="clear" w:color="bebebe" w:fill="bebebe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795" w:customStyle="1">
    <w:name w:val="List Table 2 - Accent 1"/>
    <w:basedOn w:val="645"/>
    <w:uiPriority w:val="99"/>
    <w:qFormat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sz w:val="22"/>
      </w:rPr>
      <w:tcPr>
        <w:shd w:val="clear" w:color="d2dfee" w:fill="d2dfee" w:themeFill="accent1" w:themeFillTint="40"/>
      </w:tcPr>
    </w:tblStylePr>
    <w:tblStylePr w:type="band1Vert">
      <w:rPr>
        <w:sz w:val="22"/>
      </w:rPr>
      <w:tcPr>
        <w:shd w:val="clear" w:color="d2dfee" w:fill="d2df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</w:style>
  <w:style w:type="table" w:styleId="796" w:customStyle="1">
    <w:name w:val="List Table 2 - Accent 2"/>
    <w:basedOn w:val="645"/>
    <w:uiPriority w:val="99"/>
    <w:qFormat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band1Horz">
      <w:rPr>
        <w:sz w:val="22"/>
      </w:rPr>
      <w:tcPr>
        <w:shd w:val="clear" w:color="efd3d2" w:fill="efd3d2" w:themeFill="accent2" w:themeFillTint="40"/>
      </w:tcPr>
    </w:tblStylePr>
    <w:tblStylePr w:type="band1Vert">
      <w:rPr>
        <w:sz w:val="22"/>
      </w:rPr>
      <w:tcPr>
        <w:shd w:val="clear" w:color="efd3d2" w:fill="efd3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</w:style>
  <w:style w:type="table" w:styleId="797" w:customStyle="1">
    <w:name w:val="List Table 2 - Accent 3"/>
    <w:basedOn w:val="645"/>
    <w:uiPriority w:val="99"/>
    <w:qFormat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sz w:val="22"/>
      </w:rPr>
      <w:tcPr>
        <w:shd w:val="clear" w:color="e5edd5" w:fill="e5edd5" w:themeFill="accent3" w:themeFillTint="40"/>
      </w:tcPr>
    </w:tblStylePr>
    <w:tblStylePr w:type="band1Vert">
      <w:rPr>
        <w:sz w:val="22"/>
      </w:rPr>
      <w:tcPr>
        <w:shd w:val="clear" w:color="e5edd5" w:fill="e5ed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</w:style>
  <w:style w:type="table" w:styleId="798" w:customStyle="1">
    <w:name w:val="List Table 2 - Accent 4"/>
    <w:basedOn w:val="645"/>
    <w:uiPriority w:val="99"/>
    <w:qFormat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sz w:val="22"/>
      </w:rPr>
      <w:tcPr>
        <w:shd w:val="clear" w:color="dfd8e7" w:fill="dfd8e7" w:themeFill="accent4" w:themeFillTint="40"/>
      </w:tcPr>
    </w:tblStylePr>
    <w:tblStylePr w:type="band1Vert">
      <w:rPr>
        <w:sz w:val="22"/>
      </w:rPr>
      <w:tcPr>
        <w:shd w:val="clear" w:color="dfd8e7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</w:style>
  <w:style w:type="table" w:styleId="799" w:customStyle="1">
    <w:name w:val="List Table 2 - Accent 5"/>
    <w:basedOn w:val="645"/>
    <w:uiPriority w:val="99"/>
    <w:qFormat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sz w:val="22"/>
      </w:rPr>
      <w:tcPr>
        <w:shd w:val="clear" w:color="d1eaf0" w:fill="d1eaf0" w:themeFill="accent5" w:themeFillTint="40"/>
      </w:tcPr>
    </w:tblStylePr>
    <w:tblStylePr w:type="band1Vert">
      <w:rPr>
        <w:sz w:val="22"/>
      </w:rPr>
      <w:tcPr>
        <w:shd w:val="clear" w:color="d1eaf0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</w:style>
  <w:style w:type="table" w:styleId="800" w:customStyle="1">
    <w:name w:val="List Table 2 - Accent 6"/>
    <w:basedOn w:val="645"/>
    <w:uiPriority w:val="99"/>
    <w:qFormat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sz w:val="22"/>
      </w:rPr>
      <w:tcPr>
        <w:shd w:val="clear" w:color="fce4d0" w:fill="fce4d0" w:themeFill="accent6" w:themeFillTint="40"/>
      </w:tcPr>
    </w:tblStylePr>
    <w:tblStylePr w:type="band1Vert">
      <w:rPr>
        <w:sz w:val="22"/>
      </w:rPr>
      <w:tcPr>
        <w:shd w:val="clear" w:color="fce4d0" w:fill="fce4d0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</w:style>
  <w:style w:type="table" w:styleId="801" w:customStyle="1">
    <w:name w:val="List Table 3"/>
    <w:basedOn w:val="645"/>
    <w:uiPriority w:val="99"/>
    <w:qFormat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02" w:customStyle="1">
    <w:name w:val="List Table 3 - Accent 1"/>
    <w:basedOn w:val="645"/>
    <w:uiPriority w:val="99"/>
    <w:qFormat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03" w:customStyle="1">
    <w:name w:val="List Table 3 - Accent 2"/>
    <w:basedOn w:val="645"/>
    <w:uiPriority w:val="99"/>
    <w:qFormat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band1Horz">
      <w:rPr>
        <w:sz w:val="22"/>
      </w:rPr>
      <w:tcPr>
        <w:tcBorders>
          <w:top w:val="single" w:color="C0504D" w:themeColor="accent2" w:sz="4" w:space="0"/>
          <w:bottom w:val="single" w:color="C0504D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d99795" w:fill="d99795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04" w:customStyle="1">
    <w:name w:val="List Table 3 - Accent 3"/>
    <w:basedOn w:val="645"/>
    <w:uiPriority w:val="99"/>
    <w:qFormat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band1Horz">
      <w:rPr>
        <w:sz w:val="22"/>
      </w:rPr>
      <w:tcPr>
        <w:tcBorders>
          <w:top w:val="single" w:color="9BBB59" w:themeColor="accent3" w:sz="4" w:space="0"/>
          <w:bottom w:val="single" w:color="9BBB59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3d69c" w:fill="c3d69c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05" w:customStyle="1">
    <w:name w:val="List Table 3 - Accent 4"/>
    <w:basedOn w:val="645"/>
    <w:uiPriority w:val="99"/>
    <w:qFormat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sz w:val="22"/>
      </w:rPr>
      <w:tcPr>
        <w:tcBorders>
          <w:top w:val="single" w:color="8064A2" w:themeColor="accent4" w:sz="4" w:space="0"/>
          <w:bottom w:val="single" w:color="8064A2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b2a1c6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06" w:customStyle="1">
    <w:name w:val="List Table 3 - Accent 5"/>
    <w:basedOn w:val="645"/>
    <w:uiPriority w:val="99"/>
    <w:qFormat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sz w:val="22"/>
      </w:rPr>
      <w:tcPr>
        <w:tcBorders>
          <w:top w:val="single" w:color="4BACC6" w:themeColor="accent5" w:sz="4" w:space="0"/>
          <w:bottom w:val="single" w:color="4BACC6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2ccdc" w:fill="92cc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07" w:customStyle="1">
    <w:name w:val="List Table 3 - Accent 6"/>
    <w:basedOn w:val="645"/>
    <w:uiPriority w:val="99"/>
    <w:qFormat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sz w:val="22"/>
      </w:rPr>
      <w:tcPr>
        <w:tcBorders>
          <w:top w:val="single" w:color="F79646" w:themeColor="accent6" w:sz="4" w:space="0"/>
          <w:bottom w:val="single" w:color="F79646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ac090" w:fill="fac0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08" w:customStyle="1">
    <w:name w:val="List Table 4"/>
    <w:basedOn w:val="645"/>
    <w:uiPriority w:val="99"/>
    <w:qFormat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bebebe" w:fill="bebebe" w:themeFill="text1" w:themeFillTint="40"/>
      </w:tcPr>
    </w:tblStylePr>
    <w:tblStylePr w:type="band1Vert">
      <w:rPr>
        <w:sz w:val="22"/>
      </w:rPr>
      <w:tcPr>
        <w:shd w:val="clear" w:color="bebebe" w:fill="bebebe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09" w:customStyle="1">
    <w:name w:val="List Table 4 - Accent 1"/>
    <w:basedOn w:val="645"/>
    <w:uiPriority w:val="99"/>
    <w:qFormat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sz w:val="22"/>
      </w:rPr>
      <w:tcPr>
        <w:shd w:val="clear" w:color="d2dfee" w:fill="d2dfee" w:themeFill="accent1" w:themeFillTint="40"/>
      </w:tcPr>
    </w:tblStylePr>
    <w:tblStylePr w:type="band1Vert">
      <w:rPr>
        <w:sz w:val="22"/>
      </w:rPr>
      <w:tcPr>
        <w:shd w:val="clear" w:color="d2dfee" w:fill="d2df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10" w:customStyle="1">
    <w:name w:val="List Table 4 - Accent 2"/>
    <w:basedOn w:val="645"/>
    <w:uiPriority w:val="99"/>
    <w:qFormat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band1Horz">
      <w:rPr>
        <w:sz w:val="22"/>
      </w:rPr>
      <w:tcPr>
        <w:shd w:val="clear" w:color="efd3d2" w:fill="efd3d2" w:themeFill="accent2" w:themeFillTint="40"/>
      </w:tcPr>
    </w:tblStylePr>
    <w:tblStylePr w:type="band1Vert">
      <w:rPr>
        <w:sz w:val="22"/>
      </w:rPr>
      <w:tcPr>
        <w:shd w:val="clear" w:color="efd3d2" w:fill="efd3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0504d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11" w:customStyle="1">
    <w:name w:val="List Table 4 - Accent 3"/>
    <w:basedOn w:val="645"/>
    <w:uiPriority w:val="99"/>
    <w:qFormat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sz w:val="22"/>
      </w:rPr>
      <w:tcPr>
        <w:shd w:val="clear" w:color="e5edd5" w:fill="e5edd5" w:themeFill="accent3" w:themeFillTint="40"/>
      </w:tcPr>
    </w:tblStylePr>
    <w:tblStylePr w:type="band1Vert">
      <w:rPr>
        <w:sz w:val="22"/>
      </w:rPr>
      <w:tcPr>
        <w:shd w:val="clear" w:color="e5edd5" w:fill="e5ed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bbb59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12" w:customStyle="1">
    <w:name w:val="List Table 4 - Accent 4"/>
    <w:basedOn w:val="645"/>
    <w:uiPriority w:val="99"/>
    <w:qFormat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sz w:val="22"/>
      </w:rPr>
      <w:tcPr>
        <w:shd w:val="clear" w:color="dfd8e7" w:fill="dfd8e7" w:themeFill="accent4" w:themeFillTint="40"/>
      </w:tcPr>
    </w:tblStylePr>
    <w:tblStylePr w:type="band1Vert">
      <w:rPr>
        <w:sz w:val="22"/>
      </w:rPr>
      <w:tcPr>
        <w:shd w:val="clear" w:color="dfd8e7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8064a2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13" w:customStyle="1">
    <w:name w:val="List Table 4 - Accent 5"/>
    <w:basedOn w:val="645"/>
    <w:uiPriority w:val="99"/>
    <w:qFormat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sz w:val="22"/>
      </w:rPr>
      <w:tcPr>
        <w:shd w:val="clear" w:color="d1eaf0" w:fill="d1eaf0" w:themeFill="accent5" w:themeFillTint="40"/>
      </w:tcPr>
    </w:tblStylePr>
    <w:tblStylePr w:type="band1Vert">
      <w:rPr>
        <w:sz w:val="22"/>
      </w:rPr>
      <w:tcPr>
        <w:shd w:val="clear" w:color="d1eaf0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bacc6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14" w:customStyle="1">
    <w:name w:val="List Table 4 - Accent 6"/>
    <w:basedOn w:val="645"/>
    <w:uiPriority w:val="99"/>
    <w:qFormat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sz w:val="22"/>
      </w:rPr>
      <w:tcPr>
        <w:shd w:val="clear" w:color="fce4d0" w:fill="fce4d0" w:themeFill="accent6" w:themeFillTint="40"/>
      </w:tcPr>
    </w:tblStylePr>
    <w:tblStylePr w:type="band1Vert">
      <w:rPr>
        <w:sz w:val="22"/>
      </w:rPr>
      <w:tcPr>
        <w:shd w:val="clear" w:color="fce4d0" w:fill="fce4d0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79646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15" w:customStyle="1">
    <w:name w:val="List Table 5 Dark"/>
    <w:basedOn w:val="645"/>
    <w:uiPriority w:val="99"/>
    <w:qFormat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band1Horz">
      <w:tcPr>
        <w:shd w:val="clear" w:color="7e7e7e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e7e7e" w:fill="7e7e7e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e7e7e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7e7e7e" w:fill="7e7e7e" w:themeFill="text1" w:themeFillTint="80"/>
        <w:tcBorders>
          <w:top w:val="single" w:color="000000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16" w:customStyle="1">
    <w:name w:val="List Table 5 Dark - Accent 1"/>
    <w:basedOn w:val="645"/>
    <w:uiPriority w:val="99"/>
    <w:qFormat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band1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4f81bd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17" w:customStyle="1">
    <w:name w:val="List Table 5 Dark - Accent 2"/>
    <w:basedOn w:val="645"/>
    <w:uiPriority w:val="99"/>
    <w:qFormat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band1Horz">
      <w:tcPr>
        <w:shd w:val="clear" w:color="d99795" w:fill="d997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795" w:fill="d997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795" w:fill="d997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0504D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d99795" w:fill="d99795" w:themeFill="accent2" w:themeFillTint="97"/>
        <w:tcBorders>
          <w:top w:val="single" w:color="C0504D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0504D" w:themeColor="accent2" w:sz="32" w:space="0"/>
        </w:tcBorders>
      </w:tcPr>
    </w:tblStylePr>
    <w:tblStylePr w:type="la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18" w:customStyle="1">
    <w:name w:val="List Table 5 Dark - Accent 3"/>
    <w:basedOn w:val="645"/>
    <w:uiPriority w:val="99"/>
    <w:qFormat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band1Horz">
      <w:tcPr>
        <w:shd w:val="clear" w:color="c3d69c" w:fill="c3d69c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c" w:fill="c3d69c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c" w:fill="c3d69c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BBB59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c3d69c" w:fill="c3d69c" w:themeFill="accent3" w:themeFillTint="98"/>
        <w:tcBorders>
          <w:top w:val="single" w:color="9BBB59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BB59" w:themeColor="accent3" w:sz="32" w:space="0"/>
        </w:tcBorders>
      </w:tcPr>
    </w:tblStylePr>
    <w:tblStylePr w:type="la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19" w:customStyle="1">
    <w:name w:val="List Table 5 Dark - Accent 4"/>
    <w:basedOn w:val="645"/>
    <w:uiPriority w:val="99"/>
    <w:qFormat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band1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064A2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b2a1c6" w:fill="b2a1c6" w:themeFill="accent4" w:themeFillTint="9A"/>
        <w:tcBorders>
          <w:top w:val="single" w:color="8064A2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064A2" w:themeColor="accent4" w:sz="32" w:space="0"/>
        </w:tcBorders>
      </w:tcPr>
    </w:tblStylePr>
    <w:tblStylePr w:type="la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20" w:customStyle="1">
    <w:name w:val="List Table 5 Dark - Accent 5"/>
    <w:basedOn w:val="645"/>
    <w:uiPriority w:val="99"/>
    <w:qFormat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band1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BACC6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92ccdc" w:fill="92ccdc" w:themeFill="accent5" w:themeFillTint="9A"/>
        <w:tcBorders>
          <w:top w:val="single" w:color="4BACC6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BACC6" w:themeColor="accent5" w:sz="32" w:space="0"/>
        </w:tcBorders>
      </w:tcPr>
    </w:tblStylePr>
    <w:tblStylePr w:type="la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21" w:customStyle="1">
    <w:name w:val="List Table 5 Dark - Accent 6"/>
    <w:basedOn w:val="645"/>
    <w:uiPriority w:val="99"/>
    <w:qFormat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band1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79646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fac090" w:fill="fac090" w:themeFill="accent6" w:themeFillTint="98"/>
        <w:tcBorders>
          <w:top w:val="single" w:color="F79646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79646" w:themeColor="accent6" w:sz="32" w:space="0"/>
        </w:tcBorders>
      </w:tcPr>
    </w:tblStylePr>
    <w:tblStylePr w:type="la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22" w:customStyle="1">
    <w:name w:val="List Table 6 Colorful"/>
    <w:basedOn w:val="645"/>
    <w:uiPriority w:val="99"/>
    <w:qFormat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band1Horz">
      <w:rPr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fill="bebebe" w:themeFill="text1" w:themeFillTint="40"/>
      </w:tcPr>
    </w:tblStylePr>
    <w:tblStylePr w:type="band1Vert">
      <w:tcPr>
        <w:shd w:val="clear" w:color="bebebe" w:fill="bebebe" w:themeFill="text1" w:themeFillTint="40"/>
      </w:tcPr>
    </w:tblStylePr>
    <w:tblStylePr w:type="band2Horz">
      <w:rPr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4" w:space="0"/>
        </w:tcBorders>
      </w:tcPr>
    </w:tblStylePr>
  </w:style>
  <w:style w:type="table" w:styleId="823" w:customStyle="1">
    <w:name w:val="List Table 6 Colorful - Accent 1"/>
    <w:basedOn w:val="645"/>
    <w:uiPriority w:val="99"/>
    <w:qFormat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color w:val="2a4b71" w:themeColor="accent1" w:themeShade="94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b71" w:themeColor="accent1" w:themeShade="94"/>
        <w:sz w:val="22"/>
      </w:rPr>
    </w:tblStylePr>
    <w:tblStylePr w:type="firstCol">
      <w:rPr>
        <w:b/>
        <w:color w:val="2a4b71" w:themeColor="accent1" w:themeShade="94"/>
      </w:rPr>
    </w:tblStyle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b71" w:themeColor="accent1" w:themeShade="94"/>
      </w:r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</w:style>
  <w:style w:type="table" w:styleId="824" w:customStyle="1">
    <w:name w:val="List Table 6 Colorful - Accent 2"/>
    <w:basedOn w:val="645"/>
    <w:uiPriority w:val="99"/>
    <w:qFormat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band1Horz">
      <w:rPr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fill="efd3d2" w:themeFill="accent2" w:themeFillTint="40"/>
      </w:tcPr>
    </w:tblStylePr>
    <w:tblStylePr w:type="band1Vert">
      <w:tcPr>
        <w:shd w:val="clear" w:color="efd3d2" w:fill="efd3d2" w:themeFill="accent2" w:themeFillTint="40"/>
      </w:tcPr>
    </w:tblStylePr>
    <w:tblStylePr w:type="band2Horz">
      <w:rPr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C0504D" w:themeColor="accent2" w:sz="4" w:space="0"/>
        </w:tcBorders>
      </w:tc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C0504D" w:themeColor="accent2" w:sz="4" w:space="0"/>
        </w:tcBorders>
      </w:tcPr>
    </w:tblStylePr>
  </w:style>
  <w:style w:type="table" w:styleId="825" w:customStyle="1">
    <w:name w:val="List Table 6 Colorful - Accent 3"/>
    <w:basedOn w:val="645"/>
    <w:uiPriority w:val="99"/>
    <w:qFormat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band1Horz">
      <w:rPr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fill="e5edd5" w:themeFill="accent3" w:themeFillTint="40"/>
      </w:tcPr>
    </w:tblStylePr>
    <w:tblStylePr w:type="band1Vert">
      <w:tcPr>
        <w:shd w:val="clear" w:color="e5edd5" w:fill="e5edd5" w:themeFill="accent3" w:themeFillTint="40"/>
      </w:tcPr>
    </w:tblStylePr>
    <w:tblStylePr w:type="band2Horz">
      <w:rPr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9BBB59" w:themeColor="accent3" w:sz="4" w:space="0"/>
        </w:tcBorders>
      </w:tc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9BBB59" w:themeColor="accent3" w:sz="4" w:space="0"/>
        </w:tcBorders>
      </w:tcPr>
    </w:tblStylePr>
  </w:style>
  <w:style w:type="table" w:styleId="826" w:customStyle="1">
    <w:name w:val="List Table 6 Colorful - Accent 4"/>
    <w:basedOn w:val="645"/>
    <w:uiPriority w:val="99"/>
    <w:qFormat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8064A2" w:themeColor="accent4" w:sz="4" w:space="0"/>
        </w:tcBorders>
      </w:tc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8064A2" w:themeColor="accent4" w:sz="4" w:space="0"/>
        </w:tcBorders>
      </w:tcPr>
    </w:tblStylePr>
  </w:style>
  <w:style w:type="table" w:styleId="827" w:customStyle="1">
    <w:name w:val="List Table 6 Colorful - Accent 5"/>
    <w:basedOn w:val="645"/>
    <w:uiPriority w:val="99"/>
    <w:qFormat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4BACC6" w:themeColor="accent5" w:sz="4" w:space="0"/>
        </w:tcBorders>
      </w:tc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4BACC6" w:themeColor="accent5" w:sz="4" w:space="0"/>
        </w:tcBorders>
      </w:tcPr>
    </w:tblStylePr>
  </w:style>
  <w:style w:type="table" w:styleId="828" w:customStyle="1">
    <w:name w:val="List Table 6 Colorful - Accent 6"/>
    <w:basedOn w:val="645"/>
    <w:uiPriority w:val="99"/>
    <w:qFormat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fill="fce4d0" w:themeFill="accent6" w:themeFillTint="40"/>
      </w:tcPr>
    </w:tblStylePr>
    <w:tblStylePr w:type="band1Vert">
      <w:tcPr>
        <w:shd w:val="clear" w:color="fce4d0" w:fill="fce4d0" w:themeFill="accent6" w:themeFillTint="40"/>
      </w:tcPr>
    </w:tblStylePr>
    <w:tblStylePr w:type="band2Horz">
      <w:rPr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79646" w:themeColor="accent6" w:sz="4" w:space="0"/>
        </w:tcBorders>
      </w:tc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79646" w:themeColor="accent6" w:sz="4" w:space="0"/>
        </w:tcBorders>
      </w:tcPr>
    </w:tblStylePr>
  </w:style>
  <w:style w:type="table" w:styleId="829" w:customStyle="1">
    <w:name w:val="List Table 7 Colorful"/>
    <w:basedOn w:val="645"/>
    <w:uiPriority w:val="99"/>
    <w:qFormat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band1Horz">
      <w:rPr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fill="bebebe" w:themeFill="text1" w:themeFillTint="40"/>
      </w:tcPr>
    </w:tblStylePr>
    <w:tblStylePr w:type="band1Vert">
      <w:tcPr>
        <w:shd w:val="clear" w:color="bebebe" w:fill="bebebe" w:themeFill="text1" w:themeFillTint="40"/>
      </w:tcPr>
    </w:tblStylePr>
    <w:tblStylePr w:type="band2Horz">
      <w:rPr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7 Colorful - Accent 1"/>
    <w:basedOn w:val="645"/>
    <w:uiPriority w:val="99"/>
    <w:qFormat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band1Horz">
      <w:rPr>
        <w:color w:val="2a4b71" w:themeColor="accent1" w:themeShade="94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b71" w:themeColor="accent1" w:themeShade="94"/>
        <w:sz w:val="22"/>
      </w:rPr>
    </w:tblStylePr>
    <w:tblStylePr w:type="firstCol">
      <w:rPr>
        <w:i/>
        <w:color w:val="2a4b71" w:themeColor="accent1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i/>
        <w:color w:val="2a4b71" w:themeColor="accent1" w:themeShade="94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4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4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7 Colorful - Accent 2"/>
    <w:basedOn w:val="645"/>
    <w:uiPriority w:val="99"/>
    <w:qFormat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band1Horz">
      <w:rPr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fill="efd3d2" w:themeFill="accent2" w:themeFillTint="40"/>
      </w:tcPr>
    </w:tblStylePr>
    <w:tblStylePr w:type="band1Vert">
      <w:tcPr>
        <w:shd w:val="clear" w:color="efd3d2" w:fill="efd3d2" w:themeFill="accent2" w:themeFillTint="40"/>
      </w:tcPr>
    </w:tblStylePr>
    <w:tblStylePr w:type="band2Horz">
      <w:rPr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</w:tcPr>
    </w:tblStylePr>
    <w:tblStylePr w:type="firstRow">
      <w:rPr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fffff" w:themeFill="light1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7 Colorful - Accent 3"/>
    <w:basedOn w:val="645"/>
    <w:uiPriority w:val="99"/>
    <w:qFormat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band1Horz">
      <w:rPr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fill="e5edd5" w:themeFill="accent3" w:themeFillTint="40"/>
      </w:tcPr>
    </w:tblStylePr>
    <w:tblStylePr w:type="band1Vert">
      <w:tcPr>
        <w:shd w:val="clear" w:color="e5edd5" w:fill="e5edd5" w:themeFill="accent3" w:themeFillTint="40"/>
      </w:tcPr>
    </w:tblStylePr>
    <w:tblStylePr w:type="band2Horz">
      <w:rPr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firstCol">
      <w:rPr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</w:tcPr>
    </w:tblStylePr>
    <w:tblStylePr w:type="firstRow">
      <w:rPr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ffffff" w:themeFill="light1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st Table 7 Colorful - Accent 4"/>
    <w:basedOn w:val="645"/>
    <w:uiPriority w:val="99"/>
    <w:qFormat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band1Horz">
      <w:rPr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</w:tcPr>
    </w:tblStylePr>
    <w:tblStylePr w:type="firstRow">
      <w:rPr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ffffff" w:themeFill="light1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st Table 7 Colorful - Accent 5"/>
    <w:basedOn w:val="645"/>
    <w:uiPriority w:val="99"/>
    <w:qFormat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band1Horz">
      <w:rPr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firstCol">
      <w:rPr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</w:tcPr>
    </w:tblStylePr>
    <w:tblStylePr w:type="firstRow">
      <w:rPr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ffffff" w:themeFill="light1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List Table 7 Colorful - Accent 6"/>
    <w:basedOn w:val="645"/>
    <w:uiPriority w:val="99"/>
    <w:qFormat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band1Horz">
      <w:rPr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fill="fce4d0" w:themeFill="accent6" w:themeFillTint="40"/>
      </w:tcPr>
    </w:tblStylePr>
    <w:tblStylePr w:type="band1Vert">
      <w:tcPr>
        <w:shd w:val="clear" w:color="fce4d0" w:fill="fce4d0" w:themeFill="accent6" w:themeFillTint="40"/>
      </w:tcPr>
    </w:tblStylePr>
    <w:tblStylePr w:type="band2Horz">
      <w:rPr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firstCol">
      <w:rPr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</w:tcPr>
    </w:tblStylePr>
    <w:tblStylePr w:type="firstRow">
      <w:rPr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fffff" w:themeFill="light1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Lined - Accent"/>
    <w:basedOn w:val="645"/>
    <w:uiPriority w:val="99"/>
    <w:qFormat/>
    <w:pPr>
      <w:spacing w:after="0" w:line="240" w:lineRule="auto"/>
    </w:pPr>
    <w:rPr>
      <w:sz w:val="20"/>
      <w:szCs w:val="20"/>
      <w:lang w:eastAsia="ru-RU"/>
    </w:rPr>
    <w:tblPr/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1f1f1" w:fill="ffffff" w:themeFill="text1" w:themeFillTint="00"/>
      </w:tcPr>
    </w:tblStylePr>
    <w:tblStylePr w:type="band2Vert">
      <w:rPr>
        <w:sz w:val="22"/>
      </w:rPr>
      <w:tcPr>
        <w:shd w:val="clear" w:color="f1f1f1" w:fill="ffffff" w:themeFill="text1" w:themeFillTint="00"/>
      </w:tcPr>
    </w:tblStylePr>
    <w:tblStylePr w:type="firstCol">
      <w:rPr>
        <w:sz w:val="22"/>
      </w:rPr>
      <w:tcPr>
        <w:shd w:val="clear" w:color="7e7e7e" w:fill="7e7e7e" w:themeFill="text1" w:themeFillTint="80"/>
      </w:tcPr>
    </w:tblStylePr>
    <w:tblStylePr w:type="firstRow">
      <w:rPr>
        <w:sz w:val="22"/>
      </w:rPr>
      <w:tcPr>
        <w:shd w:val="clear" w:color="7e7e7e" w:fill="7e7e7e" w:themeFill="text1" w:themeFillTint="80"/>
      </w:tcPr>
    </w:tblStylePr>
    <w:tblStylePr w:type="lastCol">
      <w:rPr>
        <w:sz w:val="22"/>
      </w:rPr>
      <w:tcPr>
        <w:shd w:val="clear" w:color="7e7e7e" w:fill="7e7e7e" w:themeFill="text1" w:themeFillTint="80"/>
      </w:tcPr>
    </w:tblStylePr>
    <w:tblStylePr w:type="lastRow">
      <w:rPr>
        <w:sz w:val="22"/>
      </w:rPr>
      <w:tcPr>
        <w:shd w:val="clear" w:color="7e7e7e" w:fill="7e7e7e" w:themeFill="text1" w:themeFillTint="80"/>
      </w:tcPr>
    </w:tblStylePr>
  </w:style>
  <w:style w:type="table" w:styleId="837" w:customStyle="1">
    <w:name w:val="Lined - Accent 1"/>
    <w:basedOn w:val="645"/>
    <w:uiPriority w:val="99"/>
    <w:qFormat/>
    <w:pPr>
      <w:spacing w:after="0" w:line="240" w:lineRule="auto"/>
    </w:pPr>
    <w:rPr>
      <w:sz w:val="20"/>
      <w:szCs w:val="20"/>
      <w:lang w:eastAsia="ru-RU"/>
    </w:rPr>
    <w:tblPr/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7d7ea" w:fill="c7d7ea" w:themeFill="accent1" w:themeFillTint="50"/>
      </w:tcPr>
    </w:tblStylePr>
    <w:tblStylePr w:type="band2Vert">
      <w:rPr>
        <w:sz w:val="22"/>
      </w:rPr>
      <w:tcPr>
        <w:shd w:val="clear" w:color="c7d7ea" w:fill="c7d7ea" w:themeFill="accent1" w:themeFillTint="50"/>
      </w:tcPr>
    </w:tblStylePr>
    <w:tblStylePr w:type="firstCol">
      <w:rPr>
        <w:sz w:val="22"/>
      </w:rPr>
      <w:tcPr>
        <w:shd w:val="clear" w:color="5d8bc2" w:fill="5d8bc2" w:themeFill="accent1" w:themeFillTint="EA"/>
      </w:tcPr>
    </w:tblStylePr>
    <w:tblStylePr w:type="firstRow">
      <w:rPr>
        <w:sz w:val="22"/>
      </w:rPr>
      <w:tcPr>
        <w:shd w:val="clear" w:color="5d8bc2" w:fill="5d8bc2" w:themeFill="accent1" w:themeFillTint="EA"/>
      </w:tcPr>
    </w:tblStylePr>
    <w:tblStylePr w:type="lastCol">
      <w:rPr>
        <w:sz w:val="22"/>
      </w:rPr>
      <w:tcPr>
        <w:shd w:val="clear" w:color="5d8bc2" w:fill="5d8bc2" w:themeFill="accent1" w:themeFillTint="EA"/>
      </w:tcPr>
    </w:tblStylePr>
    <w:tblStylePr w:type="lastRow">
      <w:rPr>
        <w:sz w:val="22"/>
      </w:rPr>
      <w:tcPr>
        <w:shd w:val="clear" w:color="5d8bc2" w:fill="5d8bc2" w:themeFill="accent1" w:themeFillTint="EA"/>
      </w:tcPr>
    </w:tblStylePr>
  </w:style>
  <w:style w:type="table" w:styleId="838" w:customStyle="1">
    <w:name w:val="Lined - Accent 2"/>
    <w:basedOn w:val="645"/>
    <w:uiPriority w:val="99"/>
    <w:qFormat/>
    <w:pPr>
      <w:spacing w:after="0" w:line="240" w:lineRule="auto"/>
    </w:pPr>
    <w:rPr>
      <w:sz w:val="20"/>
      <w:szCs w:val="20"/>
      <w:lang w:eastAsia="ru-RU"/>
    </w:rPr>
    <w:tblPr/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dcdc" w:fill="f2dcdc" w:themeFill="accent2" w:themeFillTint="32"/>
      </w:tcPr>
    </w:tblStylePr>
    <w:tblStylePr w:type="band2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sz w:val="22"/>
      </w:rPr>
      <w:tcPr>
        <w:shd w:val="clear" w:color="d99795" w:fill="d99795" w:themeFill="accent2" w:themeFillTint="97"/>
      </w:tcPr>
    </w:tblStylePr>
    <w:tblStylePr w:type="firstRow">
      <w:rPr>
        <w:sz w:val="22"/>
      </w:rPr>
      <w:tcPr>
        <w:shd w:val="clear" w:color="d99795" w:fill="d99795" w:themeFill="accent2" w:themeFillTint="97"/>
      </w:tcPr>
    </w:tblStylePr>
    <w:tblStylePr w:type="lastCol">
      <w:rPr>
        <w:sz w:val="22"/>
      </w:rPr>
      <w:tcPr>
        <w:shd w:val="clear" w:color="d99795" w:fill="d99795" w:themeFill="accent2" w:themeFillTint="97"/>
      </w:tcPr>
    </w:tblStylePr>
    <w:tblStylePr w:type="lastRow">
      <w:rPr>
        <w:sz w:val="22"/>
      </w:rPr>
      <w:tcPr>
        <w:shd w:val="clear" w:color="d99795" w:fill="d99795" w:themeFill="accent2" w:themeFillTint="97"/>
      </w:tcPr>
    </w:tblStylePr>
  </w:style>
  <w:style w:type="table" w:styleId="839" w:customStyle="1">
    <w:name w:val="Lined - Accent 3"/>
    <w:basedOn w:val="645"/>
    <w:uiPriority w:val="99"/>
    <w:qFormat/>
    <w:pPr>
      <w:spacing w:after="0" w:line="240" w:lineRule="auto"/>
    </w:pPr>
    <w:rPr>
      <w:sz w:val="20"/>
      <w:szCs w:val="20"/>
      <w:lang w:eastAsia="ru-RU"/>
    </w:rPr>
    <w:tblPr/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af1dd" w:fill="eaf1dd" w:themeFill="accent3" w:themeFillTint="34"/>
      </w:tcPr>
    </w:tblStylePr>
    <w:tblStylePr w:type="band2Vert">
      <w:rPr>
        <w:sz w:val="22"/>
      </w:rPr>
      <w:tcPr>
        <w:shd w:val="clear" w:color="eaf1dd" w:fill="eaf1dd" w:themeFill="accent3" w:themeFillTint="34"/>
      </w:tcPr>
    </w:tblStylePr>
    <w:tblStylePr w:type="firstCol">
      <w:rPr>
        <w:sz w:val="22"/>
      </w:rPr>
      <w:tcPr>
        <w:shd w:val="clear" w:color="9bbb59" w:fill="9bbb59" w:themeFill="accent3" w:themeFillTint="FE"/>
      </w:tcPr>
    </w:tblStylePr>
    <w:tblStylePr w:type="firstRow">
      <w:rPr>
        <w:sz w:val="22"/>
      </w:rPr>
      <w:tcPr>
        <w:shd w:val="clear" w:color="9bbb59" w:fill="9bbb59" w:themeFill="accent3" w:themeFillTint="FE"/>
      </w:tcPr>
    </w:tblStylePr>
    <w:tblStylePr w:type="lastCol">
      <w:rPr>
        <w:sz w:val="22"/>
      </w:rPr>
      <w:tcPr>
        <w:shd w:val="clear" w:color="9bbb59" w:fill="9bbb59" w:themeFill="accent3" w:themeFillTint="FE"/>
      </w:tcPr>
    </w:tblStylePr>
    <w:tblStylePr w:type="lastRow">
      <w:rPr>
        <w:sz w:val="22"/>
      </w:rPr>
      <w:tcPr>
        <w:shd w:val="clear" w:color="9bbb59" w:fill="9bbb59" w:themeFill="accent3" w:themeFillTint="FE"/>
      </w:tcPr>
    </w:tblStylePr>
  </w:style>
  <w:style w:type="table" w:styleId="840" w:customStyle="1">
    <w:name w:val="Lined - Accent 4"/>
    <w:basedOn w:val="645"/>
    <w:uiPriority w:val="99"/>
    <w:qFormat/>
    <w:pPr>
      <w:spacing w:after="0" w:line="240" w:lineRule="auto"/>
    </w:pPr>
    <w:rPr>
      <w:sz w:val="20"/>
      <w:szCs w:val="20"/>
      <w:lang w:eastAsia="ru-RU"/>
    </w:rPr>
    <w:tblPr/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5dfec" w:fill="e5dfec" w:themeFill="accent4" w:themeFillTint="34"/>
      </w:tcPr>
    </w:tblStylePr>
    <w:tblStylePr w:type="band2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sz w:val="22"/>
      </w:rPr>
      <w:tcPr>
        <w:shd w:val="clear" w:color="b2a1c6" w:fill="b2a1c6" w:themeFill="accent4" w:themeFillTint="9A"/>
      </w:tcPr>
    </w:tblStylePr>
    <w:tblStylePr w:type="firstRow">
      <w:rPr>
        <w:sz w:val="22"/>
      </w:rPr>
      <w:tcPr>
        <w:shd w:val="clear" w:color="b2a1c6" w:fill="b2a1c6" w:themeFill="accent4" w:themeFillTint="9A"/>
      </w:tcPr>
    </w:tblStylePr>
    <w:tblStylePr w:type="lastCol">
      <w:rPr>
        <w:sz w:val="22"/>
      </w:rPr>
      <w:tcPr>
        <w:shd w:val="clear" w:color="b2a1c6" w:fill="b2a1c6" w:themeFill="accent4" w:themeFillTint="9A"/>
      </w:tcPr>
    </w:tblStylePr>
    <w:tblStylePr w:type="lastRow">
      <w:rPr>
        <w:sz w:val="22"/>
      </w:rPr>
      <w:tcPr>
        <w:shd w:val="clear" w:color="b2a1c6" w:fill="b2a1c6" w:themeFill="accent4" w:themeFillTint="9A"/>
      </w:tcPr>
    </w:tblStylePr>
  </w:style>
  <w:style w:type="table" w:styleId="841" w:customStyle="1">
    <w:name w:val="Lined - Accent 5"/>
    <w:basedOn w:val="645"/>
    <w:uiPriority w:val="99"/>
    <w:qFormat/>
    <w:pPr>
      <w:spacing w:after="0" w:line="240" w:lineRule="auto"/>
    </w:pPr>
    <w:rPr>
      <w:sz w:val="20"/>
      <w:szCs w:val="20"/>
      <w:lang w:eastAsia="ru-RU"/>
    </w:rPr>
    <w:tblPr/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aeef3" w:fill="daeef3" w:themeFill="accent5" w:themeFillTint="34"/>
      </w:tcPr>
    </w:tblStylePr>
    <w:tblStylePr w:type="band2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sz w:val="22"/>
      </w:rPr>
      <w:tcPr>
        <w:shd w:val="clear" w:color="4bacc6" w:fill="4bacc6" w:themeFill="accent5"/>
      </w:tcPr>
    </w:tblStylePr>
    <w:tblStylePr w:type="firstRow">
      <w:rPr>
        <w:sz w:val="22"/>
      </w:rPr>
      <w:tcPr>
        <w:shd w:val="clear" w:color="4bacc6" w:fill="4bacc6" w:themeFill="accent5"/>
      </w:tcPr>
    </w:tblStylePr>
    <w:tblStylePr w:type="lastCol">
      <w:rPr>
        <w:sz w:val="22"/>
      </w:rPr>
      <w:tcPr>
        <w:shd w:val="clear" w:color="4bacc6" w:fill="4bacc6" w:themeFill="accent5"/>
      </w:tcPr>
    </w:tblStylePr>
    <w:tblStylePr w:type="lastRow">
      <w:rPr>
        <w:sz w:val="22"/>
      </w:rPr>
      <w:tcPr>
        <w:shd w:val="clear" w:color="4bacc6" w:fill="4bacc6" w:themeFill="accent5"/>
      </w:tcPr>
    </w:tblStylePr>
  </w:style>
  <w:style w:type="table" w:styleId="842" w:customStyle="1">
    <w:name w:val="Lined - Accent 6"/>
    <w:basedOn w:val="645"/>
    <w:uiPriority w:val="99"/>
    <w:qFormat/>
    <w:pPr>
      <w:spacing w:after="0" w:line="240" w:lineRule="auto"/>
    </w:pPr>
    <w:rPr>
      <w:sz w:val="20"/>
      <w:szCs w:val="20"/>
      <w:lang w:eastAsia="ru-RU"/>
    </w:rPr>
    <w:tblPr/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de9d9" w:fill="fde9d9" w:themeFill="accent6" w:themeFillTint="34"/>
      </w:tcPr>
    </w:tblStylePr>
    <w:tblStylePr w:type="band2Vert">
      <w:rPr>
        <w:sz w:val="22"/>
      </w:rPr>
      <w:tcPr>
        <w:shd w:val="clear" w:color="fde9d9" w:fill="fde9d9" w:themeFill="accent6" w:themeFillTint="34"/>
      </w:tcPr>
    </w:tblStylePr>
    <w:tblStylePr w:type="firstCol">
      <w:rPr>
        <w:sz w:val="22"/>
      </w:rPr>
      <w:tcPr>
        <w:shd w:val="clear" w:color="f79646" w:fill="f79646" w:themeFill="accent6"/>
      </w:tcPr>
    </w:tblStylePr>
    <w:tblStylePr w:type="firstRow">
      <w:rPr>
        <w:sz w:val="22"/>
      </w:rPr>
      <w:tcPr>
        <w:shd w:val="clear" w:color="f79646" w:fill="f79646" w:themeFill="accent6"/>
      </w:tcPr>
    </w:tblStylePr>
    <w:tblStylePr w:type="lastCol">
      <w:rPr>
        <w:sz w:val="22"/>
      </w:rPr>
      <w:tcPr>
        <w:shd w:val="clear" w:color="f79646" w:fill="f79646" w:themeFill="accent6"/>
      </w:tcPr>
    </w:tblStylePr>
    <w:tblStylePr w:type="lastRow">
      <w:rPr>
        <w:sz w:val="22"/>
      </w:rPr>
      <w:tcPr>
        <w:shd w:val="clear" w:color="f79646" w:fill="f79646" w:themeFill="accent6"/>
      </w:tcPr>
    </w:tblStylePr>
  </w:style>
  <w:style w:type="table" w:styleId="843" w:customStyle="1">
    <w:name w:val="Bordered &amp; Lined - Accent"/>
    <w:basedOn w:val="645"/>
    <w:uiPriority w:val="99"/>
    <w:qFormat/>
    <w:pPr>
      <w:spacing w:after="0" w:line="240" w:lineRule="auto"/>
    </w:pPr>
    <w:rPr>
      <w:sz w:val="20"/>
      <w:szCs w:val="20"/>
      <w:lang w:eastAsia="ru-RU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1f1f1" w:fill="ffffff" w:themeFill="text1" w:themeFillTint="00"/>
      </w:tcPr>
    </w:tblStylePr>
    <w:tblStylePr w:type="band2Vert">
      <w:rPr>
        <w:sz w:val="22"/>
      </w:rPr>
      <w:tcPr>
        <w:shd w:val="clear" w:color="f1f1f1" w:fill="ffffff" w:themeFill="text1" w:themeFillTint="00"/>
      </w:tcPr>
    </w:tblStylePr>
    <w:tblStylePr w:type="firstCol">
      <w:rPr>
        <w:sz w:val="22"/>
      </w:rPr>
      <w:tcPr>
        <w:shd w:val="clear" w:color="7e7e7e" w:fill="7e7e7e" w:themeFill="text1" w:themeFillTint="80"/>
      </w:tcPr>
    </w:tblStylePr>
    <w:tblStylePr w:type="firstRow">
      <w:rPr>
        <w:sz w:val="22"/>
      </w:rPr>
      <w:tcPr>
        <w:shd w:val="clear" w:color="7e7e7e" w:fill="7e7e7e" w:themeFill="text1" w:themeFillTint="80"/>
      </w:tcPr>
    </w:tblStylePr>
    <w:tblStylePr w:type="lastCol">
      <w:rPr>
        <w:sz w:val="22"/>
      </w:rPr>
      <w:tcPr>
        <w:shd w:val="clear" w:color="7e7e7e" w:fill="7e7e7e" w:themeFill="text1" w:themeFillTint="80"/>
      </w:tcPr>
    </w:tblStylePr>
    <w:tblStylePr w:type="lastRow">
      <w:rPr>
        <w:sz w:val="22"/>
      </w:rPr>
      <w:tcPr>
        <w:shd w:val="clear" w:color="7e7e7e" w:fill="7e7e7e" w:themeFill="text1" w:themeFillTint="80"/>
      </w:tcPr>
    </w:tblStylePr>
  </w:style>
  <w:style w:type="table" w:styleId="844" w:customStyle="1">
    <w:name w:val="Bordered &amp; Lined - Accent 1"/>
    <w:basedOn w:val="645"/>
    <w:uiPriority w:val="99"/>
    <w:qFormat/>
    <w:pPr>
      <w:spacing w:after="0" w:line="240" w:lineRule="auto"/>
    </w:pPr>
    <w:rPr>
      <w:sz w:val="20"/>
      <w:szCs w:val="20"/>
      <w:lang w:eastAsia="ru-RU"/>
    </w:r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4F81BD" w:themeColor="accent1" w:sz="4" w:space="0"/>
        <w:insideV w:val="single" w:color="4F81BD" w:themeColor="accent1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7d7ea" w:fill="c7d7ea" w:themeFill="accent1" w:themeFillTint="50"/>
      </w:tcPr>
    </w:tblStylePr>
    <w:tblStylePr w:type="band2Vert">
      <w:rPr>
        <w:sz w:val="22"/>
      </w:rPr>
      <w:tcPr>
        <w:shd w:val="clear" w:color="c7d7ea" w:fill="c7d7ea" w:themeFill="accent1" w:themeFillTint="50"/>
      </w:tcPr>
    </w:tblStylePr>
    <w:tblStylePr w:type="firstCol">
      <w:rPr>
        <w:sz w:val="22"/>
      </w:rPr>
      <w:tcPr>
        <w:shd w:val="clear" w:color="5d8bc2" w:fill="5d8bc2" w:themeFill="accent1" w:themeFillTint="EA"/>
      </w:tcPr>
    </w:tblStylePr>
    <w:tblStylePr w:type="firstRow">
      <w:rPr>
        <w:sz w:val="22"/>
      </w:rPr>
      <w:tcPr>
        <w:shd w:val="clear" w:color="5d8bc2" w:fill="5d8bc2" w:themeFill="accent1" w:themeFillTint="EA"/>
      </w:tcPr>
    </w:tblStylePr>
    <w:tblStylePr w:type="lastCol">
      <w:rPr>
        <w:sz w:val="22"/>
      </w:rPr>
      <w:tcPr>
        <w:shd w:val="clear" w:color="5d8bc2" w:fill="5d8bc2" w:themeFill="accent1" w:themeFillTint="EA"/>
      </w:tcPr>
    </w:tblStylePr>
    <w:tblStylePr w:type="lastRow">
      <w:rPr>
        <w:sz w:val="22"/>
      </w:rPr>
      <w:tcPr>
        <w:shd w:val="clear" w:color="5d8bc2" w:fill="5d8bc2" w:themeFill="accent1" w:themeFillTint="EA"/>
      </w:tcPr>
    </w:tblStylePr>
  </w:style>
  <w:style w:type="table" w:styleId="845" w:customStyle="1">
    <w:name w:val="Bordered &amp; Lined - Accent 2"/>
    <w:basedOn w:val="645"/>
    <w:uiPriority w:val="99"/>
    <w:qFormat/>
    <w:pPr>
      <w:spacing w:after="0" w:line="240" w:lineRule="auto"/>
    </w:pPr>
    <w:rPr>
      <w:sz w:val="20"/>
      <w:szCs w:val="20"/>
      <w:lang w:eastAsia="ru-RU"/>
    </w:rPr>
    <w:tblPr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0504D" w:themeColor="accent2" w:sz="4" w:space="0"/>
        <w:insideV w:val="single" w:color="C0504D" w:themeColor="accent2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dcdc" w:fill="f2dcdc" w:themeFill="accent2" w:themeFillTint="32"/>
      </w:tcPr>
    </w:tblStylePr>
    <w:tblStylePr w:type="band2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sz w:val="22"/>
      </w:rPr>
      <w:tcPr>
        <w:shd w:val="clear" w:color="d99795" w:fill="d99795" w:themeFill="accent2" w:themeFillTint="97"/>
      </w:tcPr>
    </w:tblStylePr>
    <w:tblStylePr w:type="firstRow">
      <w:rPr>
        <w:sz w:val="22"/>
      </w:rPr>
      <w:tcPr>
        <w:shd w:val="clear" w:color="d99795" w:fill="d99795" w:themeFill="accent2" w:themeFillTint="97"/>
      </w:tcPr>
    </w:tblStylePr>
    <w:tblStylePr w:type="lastCol">
      <w:rPr>
        <w:sz w:val="22"/>
      </w:rPr>
      <w:tcPr>
        <w:shd w:val="clear" w:color="d99795" w:fill="d99795" w:themeFill="accent2" w:themeFillTint="97"/>
      </w:tcPr>
    </w:tblStylePr>
    <w:tblStylePr w:type="lastRow">
      <w:rPr>
        <w:sz w:val="22"/>
      </w:rPr>
      <w:tcPr>
        <w:shd w:val="clear" w:color="d99795" w:fill="d99795" w:themeFill="accent2" w:themeFillTint="97"/>
      </w:tcPr>
    </w:tblStylePr>
  </w:style>
  <w:style w:type="table" w:styleId="846" w:customStyle="1">
    <w:name w:val="Bordered &amp; Lined - Accent 3"/>
    <w:basedOn w:val="645"/>
    <w:uiPriority w:val="99"/>
    <w:qFormat/>
    <w:pPr>
      <w:spacing w:after="0" w:line="240" w:lineRule="auto"/>
    </w:pPr>
    <w:rPr>
      <w:sz w:val="20"/>
      <w:szCs w:val="20"/>
      <w:lang w:eastAsia="ru-RU"/>
    </w:rPr>
    <w:tblPr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9BBB59" w:themeColor="accent3" w:sz="4" w:space="0"/>
        <w:insideV w:val="single" w:color="9BBB59" w:themeColor="accent3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af1dd" w:fill="eaf1dd" w:themeFill="accent3" w:themeFillTint="34"/>
      </w:tcPr>
    </w:tblStylePr>
    <w:tblStylePr w:type="band2Vert">
      <w:rPr>
        <w:sz w:val="22"/>
      </w:rPr>
      <w:tcPr>
        <w:shd w:val="clear" w:color="eaf1dd" w:fill="eaf1dd" w:themeFill="accent3" w:themeFillTint="34"/>
      </w:tcPr>
    </w:tblStylePr>
    <w:tblStylePr w:type="firstCol">
      <w:rPr>
        <w:sz w:val="22"/>
      </w:rPr>
      <w:tcPr>
        <w:shd w:val="clear" w:color="9bbb59" w:fill="9bbb59" w:themeFill="accent3" w:themeFillTint="FE"/>
      </w:tcPr>
    </w:tblStylePr>
    <w:tblStylePr w:type="firstRow">
      <w:rPr>
        <w:sz w:val="22"/>
      </w:rPr>
      <w:tcPr>
        <w:shd w:val="clear" w:color="9bbb59" w:fill="9bbb59" w:themeFill="accent3" w:themeFillTint="FE"/>
      </w:tcPr>
    </w:tblStylePr>
    <w:tblStylePr w:type="lastCol">
      <w:rPr>
        <w:sz w:val="22"/>
      </w:rPr>
      <w:tcPr>
        <w:shd w:val="clear" w:color="9bbb59" w:fill="9bbb59" w:themeFill="accent3" w:themeFillTint="FE"/>
      </w:tcPr>
    </w:tblStylePr>
    <w:tblStylePr w:type="lastRow">
      <w:rPr>
        <w:sz w:val="22"/>
      </w:rPr>
      <w:tcPr>
        <w:shd w:val="clear" w:color="9bbb59" w:fill="9bbb59" w:themeFill="accent3" w:themeFillTint="FE"/>
      </w:tcPr>
    </w:tblStylePr>
  </w:style>
  <w:style w:type="table" w:styleId="847" w:customStyle="1">
    <w:name w:val="Bordered &amp; Lined - Accent 4"/>
    <w:basedOn w:val="645"/>
    <w:uiPriority w:val="99"/>
    <w:qFormat/>
    <w:pPr>
      <w:spacing w:after="0" w:line="240" w:lineRule="auto"/>
    </w:pPr>
    <w:rPr>
      <w:sz w:val="20"/>
      <w:szCs w:val="20"/>
      <w:lang w:eastAsia="ru-RU"/>
    </w:rPr>
    <w:tblPr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8064A2" w:themeColor="accent4" w:sz="4" w:space="0"/>
        <w:insideV w:val="single" w:color="8064A2" w:themeColor="accent4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5dfec" w:fill="e5dfec" w:themeFill="accent4" w:themeFillTint="34"/>
      </w:tcPr>
    </w:tblStylePr>
    <w:tblStylePr w:type="band2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sz w:val="22"/>
      </w:rPr>
      <w:tcPr>
        <w:shd w:val="clear" w:color="b2a1c6" w:fill="b2a1c6" w:themeFill="accent4" w:themeFillTint="9A"/>
      </w:tcPr>
    </w:tblStylePr>
    <w:tblStylePr w:type="firstRow">
      <w:rPr>
        <w:sz w:val="22"/>
      </w:rPr>
      <w:tcPr>
        <w:shd w:val="clear" w:color="b2a1c6" w:fill="b2a1c6" w:themeFill="accent4" w:themeFillTint="9A"/>
      </w:tcPr>
    </w:tblStylePr>
    <w:tblStylePr w:type="lastCol">
      <w:rPr>
        <w:sz w:val="22"/>
      </w:rPr>
      <w:tcPr>
        <w:shd w:val="clear" w:color="b2a1c6" w:fill="b2a1c6" w:themeFill="accent4" w:themeFillTint="9A"/>
      </w:tcPr>
    </w:tblStylePr>
    <w:tblStylePr w:type="lastRow">
      <w:rPr>
        <w:sz w:val="22"/>
      </w:rPr>
      <w:tcPr>
        <w:shd w:val="clear" w:color="b2a1c6" w:fill="b2a1c6" w:themeFill="accent4" w:themeFillTint="9A"/>
      </w:tcPr>
    </w:tblStylePr>
  </w:style>
  <w:style w:type="table" w:styleId="848" w:customStyle="1">
    <w:name w:val="Bordered &amp; Lined - Accent 5"/>
    <w:basedOn w:val="645"/>
    <w:uiPriority w:val="99"/>
    <w:qFormat/>
    <w:pPr>
      <w:spacing w:after="0" w:line="240" w:lineRule="auto"/>
    </w:pPr>
    <w:rPr>
      <w:sz w:val="20"/>
      <w:szCs w:val="20"/>
      <w:lang w:eastAsia="ru-RU"/>
    </w:r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aeef3" w:fill="daeef3" w:themeFill="accent5" w:themeFillTint="34"/>
      </w:tcPr>
    </w:tblStylePr>
    <w:tblStylePr w:type="band2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sz w:val="22"/>
      </w:rPr>
      <w:tcPr>
        <w:shd w:val="clear" w:color="4bacc6" w:fill="4bacc6" w:themeFill="accent5"/>
      </w:tcPr>
    </w:tblStylePr>
    <w:tblStylePr w:type="firstRow">
      <w:rPr>
        <w:sz w:val="22"/>
      </w:rPr>
      <w:tcPr>
        <w:shd w:val="clear" w:color="4bacc6" w:fill="4bacc6" w:themeFill="accent5"/>
      </w:tcPr>
    </w:tblStylePr>
    <w:tblStylePr w:type="lastCol">
      <w:rPr>
        <w:sz w:val="22"/>
      </w:rPr>
      <w:tcPr>
        <w:shd w:val="clear" w:color="4bacc6" w:fill="4bacc6" w:themeFill="accent5"/>
      </w:tcPr>
    </w:tblStylePr>
    <w:tblStylePr w:type="lastRow">
      <w:rPr>
        <w:sz w:val="22"/>
      </w:rPr>
      <w:tcPr>
        <w:shd w:val="clear" w:color="4bacc6" w:fill="4bacc6" w:themeFill="accent5"/>
      </w:tcPr>
    </w:tblStylePr>
  </w:style>
  <w:style w:type="table" w:styleId="849" w:customStyle="1">
    <w:name w:val="Bordered &amp; Lined - Accent 6"/>
    <w:basedOn w:val="645"/>
    <w:uiPriority w:val="99"/>
    <w:qFormat/>
    <w:pPr>
      <w:spacing w:after="0" w:line="240" w:lineRule="auto"/>
    </w:pPr>
    <w:rPr>
      <w:sz w:val="20"/>
      <w:szCs w:val="20"/>
      <w:lang w:eastAsia="ru-RU"/>
    </w:r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de9d9" w:fill="fde9d9" w:themeFill="accent6" w:themeFillTint="34"/>
      </w:tcPr>
    </w:tblStylePr>
    <w:tblStylePr w:type="band2Vert">
      <w:rPr>
        <w:sz w:val="22"/>
      </w:rPr>
      <w:tcPr>
        <w:shd w:val="clear" w:color="fde9d9" w:fill="fde9d9" w:themeFill="accent6" w:themeFillTint="34"/>
      </w:tcPr>
    </w:tblStylePr>
    <w:tblStylePr w:type="firstCol">
      <w:rPr>
        <w:sz w:val="22"/>
      </w:rPr>
      <w:tcPr>
        <w:shd w:val="clear" w:color="f79646" w:fill="f79646" w:themeFill="accent6"/>
      </w:tcPr>
    </w:tblStylePr>
    <w:tblStylePr w:type="firstRow">
      <w:rPr>
        <w:sz w:val="22"/>
      </w:rPr>
      <w:tcPr>
        <w:shd w:val="clear" w:color="f79646" w:fill="f79646" w:themeFill="accent6"/>
      </w:tcPr>
    </w:tblStylePr>
    <w:tblStylePr w:type="lastCol">
      <w:rPr>
        <w:sz w:val="22"/>
      </w:rPr>
      <w:tcPr>
        <w:shd w:val="clear" w:color="f79646" w:fill="f79646" w:themeFill="accent6"/>
      </w:tcPr>
    </w:tblStylePr>
    <w:tblStylePr w:type="lastRow">
      <w:rPr>
        <w:sz w:val="22"/>
      </w:rPr>
      <w:tcPr>
        <w:shd w:val="clear" w:color="f79646" w:fill="f79646" w:themeFill="accent6"/>
      </w:tcPr>
    </w:tblStylePr>
  </w:style>
  <w:style w:type="table" w:styleId="850" w:customStyle="1">
    <w:name w:val="Bordered"/>
    <w:basedOn w:val="645"/>
    <w:uiPriority w:val="99"/>
    <w:qFormat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851" w:customStyle="1">
    <w:name w:val="Bordered - Accent 1"/>
    <w:basedOn w:val="645"/>
    <w:uiPriority w:val="99"/>
    <w:qFormat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band1Horz">
      <w:rPr>
        <w:sz w:val="22"/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52" w:customStyle="1">
    <w:name w:val="Bordered - Accent 2"/>
    <w:basedOn w:val="645"/>
    <w:uiPriority w:val="99"/>
    <w:qFormat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band1Horz">
      <w:rPr>
        <w:sz w:val="22"/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C0504D" w:themeColor="accent2" w:sz="12" w:space="0"/>
        </w:tcBorders>
      </w:tcPr>
    </w:tblStylePr>
    <w:tblStylePr w:type="lastCol">
      <w:rPr>
        <w:sz w:val="22"/>
      </w:rPr>
      <w:tcPr>
        <w:tcBorders>
          <w:left w:val="single" w:color="C0504D" w:themeColor="accent2" w:sz="12" w:space="0"/>
        </w:tcBorders>
      </w:tcPr>
    </w:tblStylePr>
    <w:tblStylePr w:type="lastRow">
      <w:rPr>
        <w:sz w:val="22"/>
      </w:rPr>
      <w:tcPr>
        <w:tcBorders>
          <w:top w:val="single" w:color="C0504D" w:themeColor="accent2" w:sz="12" w:space="0"/>
        </w:tcBorders>
      </w:tcPr>
    </w:tblStylePr>
  </w:style>
  <w:style w:type="table" w:styleId="853" w:customStyle="1">
    <w:name w:val="Bordered - Accent 3"/>
    <w:basedOn w:val="645"/>
    <w:uiPriority w:val="99"/>
    <w:qFormat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sz w:val="22"/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9BBB59" w:themeColor="accent3" w:sz="12" w:space="0"/>
        </w:tcBorders>
      </w:tcPr>
    </w:tblStylePr>
    <w:tblStylePr w:type="lastCol">
      <w:rPr>
        <w:sz w:val="22"/>
      </w:rPr>
      <w:tcPr>
        <w:tcBorders>
          <w:left w:val="single" w:color="9BBB59" w:themeColor="accent3" w:sz="12" w:space="0"/>
        </w:tcBorders>
      </w:tcPr>
    </w:tblStylePr>
    <w:tblStylePr w:type="lastRow">
      <w:rPr>
        <w:sz w:val="22"/>
      </w:rPr>
      <w:tcPr>
        <w:tcBorders>
          <w:top w:val="single" w:color="9BBB59" w:themeColor="accent3" w:sz="12" w:space="0"/>
        </w:tcBorders>
      </w:tcPr>
    </w:tblStylePr>
  </w:style>
  <w:style w:type="table" w:styleId="854" w:customStyle="1">
    <w:name w:val="Bordered - Accent 4"/>
    <w:basedOn w:val="645"/>
    <w:uiPriority w:val="99"/>
    <w:qFormat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sz w:val="22"/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8064A2" w:themeColor="accent4" w:sz="12" w:space="0"/>
        </w:tcBorders>
      </w:tcPr>
    </w:tblStylePr>
    <w:tblStylePr w:type="lastCol">
      <w:rPr>
        <w:sz w:val="22"/>
      </w:rPr>
      <w:tcPr>
        <w:tcBorders>
          <w:left w:val="single" w:color="8064A2" w:themeColor="accent4" w:sz="12" w:space="0"/>
        </w:tcBorders>
      </w:tcPr>
    </w:tblStylePr>
    <w:tblStylePr w:type="lastRow">
      <w:rPr>
        <w:sz w:val="22"/>
      </w:rPr>
      <w:tcPr>
        <w:tcBorders>
          <w:top w:val="single" w:color="8064A2" w:themeColor="accent4" w:sz="12" w:space="0"/>
        </w:tcBorders>
      </w:tcPr>
    </w:tblStylePr>
  </w:style>
  <w:style w:type="table" w:styleId="855" w:customStyle="1">
    <w:name w:val="Bordered - Accent 5"/>
    <w:basedOn w:val="645"/>
    <w:uiPriority w:val="99"/>
    <w:qFormat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band1Horz">
      <w:rPr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BACC6" w:themeColor="accent5" w:sz="12" w:space="0"/>
        </w:tcBorders>
      </w:tcPr>
    </w:tblStylePr>
    <w:tblStylePr w:type="lastCol">
      <w:rPr>
        <w:sz w:val="22"/>
      </w:rPr>
      <w:tcPr>
        <w:tcBorders>
          <w:left w:val="single" w:color="4BACC6" w:themeColor="accent5" w:sz="12" w:space="0"/>
        </w:tcBorders>
      </w:tcPr>
    </w:tblStylePr>
    <w:tblStylePr w:type="lastRow">
      <w:rPr>
        <w:sz w:val="22"/>
      </w:rPr>
      <w:tcPr>
        <w:tcBorders>
          <w:top w:val="single" w:color="4BACC6" w:themeColor="accent5" w:sz="12" w:space="0"/>
        </w:tcBorders>
      </w:tcPr>
    </w:tblStylePr>
  </w:style>
  <w:style w:type="table" w:styleId="856" w:customStyle="1">
    <w:name w:val="Bordered - Accent 6"/>
    <w:basedOn w:val="645"/>
    <w:uiPriority w:val="99"/>
    <w:qFormat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79646" w:themeColor="accent6" w:sz="12" w:space="0"/>
        </w:tcBorders>
      </w:tcPr>
    </w:tblStylePr>
    <w:tblStylePr w:type="lastCol">
      <w:rPr>
        <w:sz w:val="22"/>
      </w:rPr>
      <w:tcPr>
        <w:tcBorders>
          <w:left w:val="single" w:color="F79646" w:themeColor="accent6" w:sz="12" w:space="0"/>
        </w:tcBorders>
      </w:tcPr>
    </w:tblStylePr>
    <w:tblStylePr w:type="lastRow">
      <w:rPr>
        <w:sz w:val="22"/>
      </w:rPr>
      <w:tcPr>
        <w:tcBorders>
          <w:top w:val="single" w:color="F79646" w:themeColor="accent6" w:sz="12" w:space="0"/>
        </w:tcBorders>
      </w:tcPr>
    </w:tblStylePr>
  </w:style>
  <w:style w:type="character" w:styleId="857" w:customStyle="1">
    <w:name w:val="fontstyle01"/>
    <w:uiPriority w:val="0"/>
    <w:qFormat/>
    <w:rPr>
      <w:rFonts w:ascii="TimesNewRomanPSMT" w:hAnsi="TimesNewRomanPSMT"/>
      <w:color w:val="000000"/>
      <w:sz w:val="28"/>
      <w:szCs w:val="28"/>
    </w:rPr>
  </w:style>
  <w:style w:type="numbering" w:styleId="858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LinksUpToDate>false</LinksUpToDate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Сорочинская И. Л.</dc:creator>
  <cp:revision>23</cp:revision>
  <dcterms:created xsi:type="dcterms:W3CDTF">2025-02-21T13:43:00Z</dcterms:created>
  <dcterms:modified xsi:type="dcterms:W3CDTF">2026-08-21T05:49:28Z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