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8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835"/>
        <w:jc w:val="center"/>
        <w:rPr>
          <w:rFonts w:ascii="Times New Roman" w:hAnsi="Times New Roman" w:cs="Times New Roman"/>
          <w:b/>
          <w:sz w:val="26"/>
          <w:szCs w:val="26"/>
          <w:highlight w:val="none"/>
        </w:rPr>
      </w:pPr>
      <w:r>
        <w:rPr>
          <w:highlight w:val="none"/>
        </w:rPr>
      </w:r>
      <w:bookmarkStart w:id="0" w:name="P439"/>
      <w:r>
        <w:rPr>
          <w:highlight w:val="none"/>
        </w:rPr>
      </w:r>
      <w:bookmarkEnd w:id="0"/>
      <w:r>
        <w:rPr>
          <w:rFonts w:ascii="Times New Roman" w:hAnsi="Times New Roman" w:cs="Times New Roman"/>
          <w:b/>
          <w:sz w:val="26"/>
          <w:szCs w:val="26"/>
          <w:highlight w:val="none"/>
        </w:rPr>
        <w:t xml:space="preserve">Сводный отчет</w:t>
      </w:r>
      <w:r>
        <w:rPr>
          <w:rFonts w:ascii="Times New Roman" w:hAnsi="Times New Roman" w:cs="Times New Roman"/>
          <w:b/>
          <w:sz w:val="26"/>
          <w:szCs w:val="26"/>
          <w:highlight w:val="none"/>
        </w:rPr>
      </w:r>
      <w:r>
        <w:rPr>
          <w:highlight w:val="none"/>
        </w:rPr>
      </w:r>
    </w:p>
    <w:p>
      <w:pPr>
        <w:pStyle w:val="835"/>
        <w:jc w:val="center"/>
        <w:rPr>
          <w:rFonts w:ascii="Times New Roman" w:hAnsi="Times New Roman" w:cs="Times New Roman"/>
          <w:b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  <w:highlight w:val="none"/>
        </w:rPr>
        <w:t xml:space="preserve">о результатах проведения оценки регулирующего воздействия</w:t>
      </w:r>
      <w:r>
        <w:rPr>
          <w:rFonts w:ascii="Times New Roman" w:hAnsi="Times New Roman" w:cs="Times New Roman"/>
          <w:b/>
          <w:sz w:val="26"/>
          <w:szCs w:val="26"/>
          <w:highlight w:val="none"/>
        </w:rPr>
      </w:r>
      <w:r>
        <w:rPr>
          <w:highlight w:val="none"/>
        </w:rPr>
      </w:r>
    </w:p>
    <w:p>
      <w:pPr>
        <w:pStyle w:val="835"/>
        <w:jc w:val="center"/>
        <w:rPr>
          <w:rFonts w:ascii="Times New Roman" w:hAnsi="Times New Roman" w:cs="Times New Roman"/>
          <w:b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  <w:highlight w:val="none"/>
        </w:rPr>
        <w:t xml:space="preserve">проекта нормативного правового акта</w:t>
      </w:r>
      <w:r>
        <w:rPr>
          <w:rFonts w:ascii="Times New Roman" w:hAnsi="Times New Roman" w:cs="Times New Roman"/>
          <w:b/>
          <w:sz w:val="26"/>
          <w:szCs w:val="26"/>
          <w:highlight w:val="none"/>
        </w:rPr>
      </w:r>
      <w:r>
        <w:rPr>
          <w:highlight w:val="none"/>
        </w:rPr>
      </w:r>
    </w:p>
    <w:p>
      <w:pPr>
        <w:pStyle w:val="835"/>
        <w:jc w:val="center"/>
        <w:rPr>
          <w:rFonts w:ascii="Times New Roman" w:hAnsi="Times New Roman" w:cs="Times New Roman"/>
          <w:b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sz w:val="26"/>
          <w:szCs w:val="26"/>
          <w:highlight w:val="none"/>
        </w:rPr>
      </w:r>
      <w:r>
        <w:rPr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  <w:lang w:eastAsia="ru-RU"/>
        </w:rPr>
        <w:t xml:space="preserve">1. Общая информация: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  <w:lang w:eastAsia="ru-RU"/>
        </w:rPr>
        <w:t xml:space="preserve">1.1. Орган-разработчик: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Белгородская областная Дума. </w:t>
      </w:r>
      <w:r>
        <w:rPr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  <w:lang w:eastAsia="ru-RU"/>
        </w:rPr>
        <w:t xml:space="preserve">1.2. Вид и наименование проекта нормативного правового акта: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  <w:lang w:eastAsia="ru-RU"/>
        </w:rPr>
        <w:t xml:space="preserve"> Проект закона Белгородской области «О квотировании рабочих мест для трудоустройства участников специальной военной операции на территории Белгородской области».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1.3. Сроки проведения публичного обсуждения проекта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нормативного правового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акта: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начало: «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13»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августа 202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6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г., окончание «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9»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сентября 202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6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г.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1616" w:leader="none"/>
          <w:tab w:val="left" w:pos="8351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1.4. Степень регулирующего воздействия проекта нормативного правового акта: 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высокая.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 Проект закона  вводит новую обязанность для работодателей, в части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установления квоты для приема на работу участников СВО, завершивших участие в СВО, у которых численность работников превышает 100 человек, в размере одного процента от среднесписочной численности работников.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1616" w:leader="none"/>
          <w:tab w:val="left" w:pos="8351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ab/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1.5. Контактная информация об исполнителе в органе-разработчике: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u w:val="none"/>
        </w:rPr>
        <w:t xml:space="preserve">Ф.И.О.: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Горьянова Ольга Олеговна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u w:val="none"/>
        </w:rPr>
        <w:t xml:space="preserve">Должность: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заместитель начальника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отдела законотворческой деятельности и правового мониторинга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правового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управления аппарата Белгородской областной Думы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u w:val="none"/>
        </w:rPr>
        <w:t xml:space="preserve">Тел.: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u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+7 (4722)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32-1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4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-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69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Ответственный за заполнение сводного отчета об ОРВ в отраслевом исполнительном органе области: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Ф.И.О.: </w:t>
      </w:r>
      <w:r>
        <w:rPr>
          <w:rFonts w:ascii="Times New Roman" w:hAnsi="Times New Roman" w:eastAsia="Times New Roman"/>
          <w:b w:val="0"/>
          <w:bCs w:val="0"/>
          <w:sz w:val="26"/>
          <w:szCs w:val="26"/>
          <w:highlight w:val="none"/>
          <w:lang w:eastAsia="ru-RU"/>
        </w:rPr>
        <w:t xml:space="preserve">Глубшева Кристина Анатольевна</w:t>
      </w:r>
      <w:r>
        <w:rPr>
          <w:rFonts w:ascii="Times New Roman" w:hAnsi="Times New Roman" w:eastAsia="Times New Roman"/>
          <w:b w:val="0"/>
          <w:bCs w:val="0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u w:val="none"/>
        </w:rPr>
        <w:t xml:space="preserve">Должность:</w:t>
      </w:r>
      <w:r>
        <w:rPr>
          <w:rFonts w:ascii="Times New Roman" w:hAnsi="Times New Roman" w:eastAsia="Times New Roman"/>
          <w:b w:val="0"/>
          <w:bCs w:val="0"/>
          <w:sz w:val="26"/>
          <w:szCs w:val="26"/>
          <w:highlight w:val="none"/>
          <w:lang w:eastAsia="ru-RU"/>
        </w:rPr>
        <w:t xml:space="preserve"> консультант отдела занятости и анализа рынка труда департамента труда и занятости министерства </w:t>
      </w:r>
      <w:r>
        <w:rPr>
          <w:rFonts w:ascii="Times New Roman" w:hAnsi="Times New Roman" w:eastAsia="Times New Roman"/>
          <w:b w:val="0"/>
          <w:bCs w:val="0"/>
          <w:sz w:val="26"/>
          <w:szCs w:val="26"/>
          <w:highlight w:val="none"/>
          <w:lang w:eastAsia="ru-RU"/>
        </w:rPr>
        <w:t xml:space="preserve">социальной защиты населения и труда Белгородской области</w:t>
      </w:r>
      <w:r>
        <w:rPr>
          <w:rFonts w:ascii="Times New Roman" w:hAnsi="Times New Roman" w:eastAsia="Times New Roman"/>
          <w:b w:val="0"/>
          <w:bCs w:val="0"/>
          <w:sz w:val="26"/>
          <w:szCs w:val="26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Тел.: +7 (4722) 32-60-05. Адрес электронной почты: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  <w:t xml:space="preserve"> </w:t>
      </w:r>
      <w:r>
        <w:rPr>
          <w:b w:val="0"/>
          <w:bCs w:val="0"/>
          <w:highlight w:val="none"/>
        </w:rPr>
      </w:r>
      <w:hyperlink r:id="rId10" w:tooltip="mailto:shevchenko_ns@belgov.ru" w:history="1">
        <w:r>
          <w:rPr>
            <w:rStyle w:val="844"/>
            <w:rFonts w:ascii="Times New Roman" w:hAnsi="Times New Roman" w:eastAsia="Times New Roman"/>
            <w:b w:val="0"/>
            <w:bCs w:val="0"/>
            <w:color w:val="auto"/>
            <w:sz w:val="26"/>
            <w:szCs w:val="26"/>
            <w:highlight w:val="none"/>
            <w:u w:val="none"/>
            <w:lang w:val="en-US" w:eastAsia="ru-RU"/>
          </w:rPr>
        </w:r>
        <w:r>
          <w:rPr>
            <w:rStyle w:val="844"/>
            <w:rFonts w:ascii="Times New Roman" w:hAnsi="Times New Roman" w:eastAsia="Times New Roman"/>
            <w:b w:val="0"/>
            <w:bCs w:val="0"/>
            <w:color w:val="auto"/>
            <w:sz w:val="26"/>
            <w:szCs w:val="26"/>
            <w:highlight w:val="none"/>
            <w:u w:val="none"/>
            <w:lang w:val="en-US" w:eastAsia="ru-RU"/>
          </w:rPr>
          <w:t xml:space="preserve">glubsheva_ka@belgov.ru</w:t>
        </w:r>
        <w:r>
          <w:rPr>
            <w:rStyle w:val="844"/>
            <w:rFonts w:ascii="Times New Roman" w:hAnsi="Times New Roman" w:eastAsia="Times New Roman"/>
            <w:b w:val="0"/>
            <w:bCs w:val="0"/>
            <w:color w:val="auto"/>
            <w:sz w:val="26"/>
            <w:szCs w:val="26"/>
            <w:highlight w:val="none"/>
            <w:u w:val="none"/>
            <w:lang w:val="en-US" w:eastAsia="ru-RU"/>
          </w:rPr>
        </w:r>
      </w:hyperlink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2. Описание проблемы, на решение которой направлено вводимое правовое регулирование: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2.1. Проблема, на решение которой направлен предлагаемый способ правового регулирования: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участники специальной военной операции (далее – СВО), завершившие свое участие в СВО и вернувшиеся к мирной жизни, зачастую испытывают трудности с устройством на работу. </w:t>
      </w:r>
      <w:r>
        <w:rPr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Это происходит по разным причина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м – одни не были трудоустроены и до участия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в СВО, другие – в силу имеющихся проблем со здоровьем не могут вернуться к прежней работе у прежнего работодателя, третьи – хотят сменить сферу деятельности. </w:t>
      </w:r>
      <w:r>
        <w:rPr>
          <w:rFonts w:ascii="Times New Roman" w:hAnsi="Times New Roman" w:cs="Times New Roman"/>
          <w:color w:val="000000"/>
          <w:sz w:val="26"/>
          <w:szCs w:val="26"/>
          <w:highlight w:val="none"/>
        </w:rPr>
        <w:t xml:space="preserve">Рынок труда также диктует свои жесткие </w:t>
      </w:r>
      <w:r>
        <w:rPr>
          <w:rFonts w:ascii="Times New Roman" w:hAnsi="Times New Roman" w:cs="Times New Roman"/>
          <w:color w:val="000000"/>
          <w:sz w:val="26"/>
          <w:szCs w:val="26"/>
          <w:highlight w:val="none"/>
        </w:rPr>
        <w:t xml:space="preserve">условия и участник СВО, к примеру, находившийся на СВО несколько лет и соответственно имеющий перерыв в трудовой деятельности на этот период, не может на равных условиях конкурировать при трудоустройстве с другим работником, не принимавшим участие в СВО. </w:t>
      </w:r>
      <w:r>
        <w:rPr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При этом отсут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ствие у бывших участников СВО работы значительно усложн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яет их социал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ьную адаптацию, приводит к снижению уровня жизни и нарушению социальных связей.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</w:t>
      </w:r>
      <w:r>
        <w:rPr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color w:val="000000" w:themeColor="text1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Следует отметить, что </w:t>
      </w:r>
      <w:r>
        <w:rPr>
          <w:rFonts w:ascii="Times New Roman" w:hAnsi="Times New Roman" w:eastAsia="Arial" w:cs="Times New Roman"/>
          <w:color w:val="000000" w:themeColor="text1"/>
          <w:sz w:val="26"/>
          <w:szCs w:val="26"/>
          <w:highlight w:val="none"/>
        </w:rPr>
        <w:t xml:space="preserve">в настоящее время ф</w:t>
      </w:r>
      <w:r>
        <w:rPr>
          <w:rFonts w:ascii="Times New Roman" w:hAnsi="Times New Roman" w:eastAsia="Arial" w:cs="Times New Roman"/>
          <w:color w:val="000000" w:themeColor="text1"/>
          <w:sz w:val="26"/>
          <w:szCs w:val="26"/>
          <w:highlight w:val="none"/>
        </w:rPr>
        <w:t xml:space="preserve">илиалы Государственного фонда «Защитники Отечества»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Arial" w:cs="Times New Roman"/>
          <w:color w:val="000000" w:themeColor="text1"/>
          <w:sz w:val="26"/>
          <w:szCs w:val="26"/>
          <w:highlight w:val="none"/>
        </w:rPr>
        <w:t xml:space="preserve">в регионах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оказывают </w:t>
      </w:r>
      <w:r>
        <w:rPr>
          <w:rFonts w:ascii="Times New Roman" w:hAnsi="Times New Roman" w:eastAsia="Arial" w:cs="Times New Roman"/>
          <w:color w:val="000000" w:themeColor="text1"/>
          <w:sz w:val="26"/>
          <w:szCs w:val="26"/>
          <w:highlight w:val="none"/>
        </w:rPr>
        <w:t xml:space="preserve">содействие в переобучении и трудоустройстве ветеранов СВО.</w:t>
      </w:r>
      <w:r>
        <w:rPr>
          <w:rFonts w:ascii="Times New Roman" w:hAnsi="Times New Roman" w:eastAsia="Arial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Кроме того, участник СВО, испытывающий трудности в поиске работы, может обратиться в установленном порядке в службу занятости. </w:t>
      </w:r>
      <w:r>
        <w:rPr>
          <w:color w:val="000000" w:themeColor="text1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Вместе с тем, в качестве дополнительного механизма обеспечения трудоустройства участника СВО предлагается закрепить квотирование рабочих мест для данной категории граждан.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2.2. Информация о возникновении и выявлении проблемы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: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contextualSpacing/>
        <w:ind w:firstLine="708"/>
        <w:jc w:val="both"/>
        <w:spacing w:line="283" w:lineRule="atLeast"/>
        <w:rPr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Статьей 357.1 Трудового кодекса Российской Федерации предусмотрено приостановл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ение трудового договора в случае прохождения работником военной службы, с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лужбы в войсках нацгвардии или службы добровольцем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в период мобилизации, в период военного положения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или в военное время.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 На период службы за работником сохраняется место работы, после завершения своего участия в СВО он вправе продолжить работать у прежнего работодателя.</w:t>
      </w:r>
      <w:r>
        <w:rPr>
          <w:color w:val="000000" w:themeColor="text1"/>
          <w:sz w:val="26"/>
          <w:szCs w:val="26"/>
          <w:highlight w:val="none"/>
        </w:rPr>
      </w:r>
      <w:r>
        <w:rPr>
          <w:highlight w:val="none"/>
        </w:rPr>
      </w:r>
    </w:p>
    <w:p>
      <w:pPr>
        <w:contextualSpacing/>
        <w:ind w:firstLine="708"/>
        <w:jc w:val="both"/>
        <w:spacing w:line="283" w:lineRule="atLeast"/>
        <w:rPr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Вместе с тем, зачастую по состоянию здоровья работник не может вернуться на прежнее место работы – ему могут потребоваться иные, более легкие условия труда. 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Самостоятельные поиски новой работы могут затянуться на длительное врем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я. </w:t>
      </w:r>
      <w:r>
        <w:rPr>
          <w:color w:val="000000" w:themeColor="text1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Проблема выявлена в результате обращения участников СВО по вопросу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отсутствия в региональном законодательстве права на трудоустройство в счет квоты, что ограничивает их возможности для гарантированного трудоустройства  и создает правовой пробел в мерах социальной поддержки.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2.3. 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Негативные эффекты, возникающие в связи с наличием рассматриваемой 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проблем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ы: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- рост социальной напряженности  в обществе;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sz w:val="26"/>
          <w:szCs w:val="26"/>
          <w:highlight w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- социально-экономическая дезадаптация </w:t>
      </w:r>
      <w:r>
        <w:rPr>
          <w:rFonts w:ascii="Times New Roman" w:hAnsi="Times New Roman"/>
          <w:sz w:val="26"/>
          <w:szCs w:val="26"/>
          <w:highlight w:val="none"/>
        </w:rPr>
        <w:t xml:space="preserve">участников СВО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, рост безработицы среди данной категории граждан;</w:t>
      </w:r>
      <w:r>
        <w:rPr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- снижение уровня жизни участников СВО, их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изоляция, нарушение связей с обществом, семейные конфликты.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2.4. Анализ опыта иных субъектов Российской Федерации 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br/>
        <w:t xml:space="preserve">в соответствующих сферах деятельности: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tbl>
      <w:tblPr>
        <w:tblStyle w:val="692"/>
        <w:tblW w:w="0" w:type="auto"/>
        <w:tblLayout w:type="fixed"/>
        <w:tblLook w:val="04A0" w:firstRow="1" w:lastRow="0" w:firstColumn="1" w:lastColumn="0" w:noHBand="0" w:noVBand="1"/>
      </w:tblPr>
      <w:tblGrid>
        <w:gridCol w:w="1817"/>
        <w:gridCol w:w="2151"/>
        <w:gridCol w:w="1559"/>
        <w:gridCol w:w="1843"/>
        <w:gridCol w:w="2269"/>
      </w:tblGrid>
      <w:tr>
        <w:trPr>
          <w:trHeight w:val="1134"/>
        </w:trPr>
        <w:tc>
          <w:tcPr>
            <w:tcW w:w="181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240" w:after="240"/>
              <w:rPr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none"/>
              </w:rPr>
              <w:t xml:space="preserve">Регион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240" w:after="240"/>
              <w:rPr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none"/>
              </w:rPr>
              <w:t xml:space="preserve">Категории работников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240" w:after="240"/>
              <w:rPr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none"/>
              </w:rPr>
              <w:t xml:space="preserve">Численность работников компании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240" w:after="240"/>
              <w:rPr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none"/>
              </w:rPr>
              <w:t xml:space="preserve">Размер квоты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240" w:after="240"/>
              <w:rPr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none"/>
              </w:rPr>
              <w:t xml:space="preserve">Основание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1800"/>
        </w:trPr>
        <w:tc>
          <w:tcPr>
            <w:tcW w:w="1817" w:type="dxa"/>
            <w:vAlign w:val="top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Республика Саха (Якутия)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Ветераны боевых действий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От 35 до 100 человек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Свыше 100 человек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2% от штата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3% от штата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ч. 5 ст. 2, ч. 1 ст. 3 Закона РС(Я) от 28.06.</w:t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2012 № 1093-З № 1079-IV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2717"/>
        </w:trPr>
        <w:tc>
          <w:tcPr>
            <w:tcW w:w="181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Московская область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Ветераны боевых действий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От 100 до 200 человек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Более 200 человек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1% от среднесписочной численности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1 постоянное рабочее место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ст. 3, 4 Закона Московской области от 25.04.2008 № 53/2008-ОЗ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Постановление Правительства МО от 19.08.2025 № 1038-ПП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2578"/>
        </w:trPr>
        <w:tc>
          <w:tcPr>
            <w:tcW w:w="181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Санкт-Петербург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Военнослужащие, завершившие мобилизацию или контракт, лица, сотрудничавшие с содействующими организациями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Более 100 человек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2 рабочих места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ст. 2, 3 Закона Санкт-Петербурга от 07.06.2024 № 342-78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181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Воронежская область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Участники СВО, ветераны боевых действий               (с 1 сентября 2026 года)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От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100 человек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1%, минимум 1 рабочее место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п. 1 ст. 2 Закона Воронежской области от 15.04.2026 № 34-ОЗ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181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Ивановская область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Участники специальной военной операции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(с 1 сентября 2026 года)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От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100 человек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1% от численности сотрудников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Закон Ивановской области от 01.04.2026 № 9-ОЗ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181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Курская область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Участники спецоперации, включая контрактников, мобилизованных, добровольцев, сотрудников ФСБ и Росгвардии, участников подразделений «Z»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От 100 человек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1,2% от среднесписочного состава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ст. 2, 3 Закона Курской области от 08.08.2025 № 48-ЗКО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181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Липецкая область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Участники боевых действий на приграничных территориях и новых регионов, служащие Росгвардии с полицейскими званиями, добровольцы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Свыше 100 человек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1% от коллектива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Закон Липецкой области от 19.11.2025 № 708-ОЗ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Постановление Правительства ЛО от 20.01.2026 № 11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18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Рязанская область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Мобилизованные, контрактники ВС РФ и нацгвардии, добровольцы, командированные служащие, ветераны боевых действий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Более 100 человек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2 рабочих места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Постановление МТСЗН Рязанской области от 18.10.2024 № 74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1202"/>
        </w:trPr>
        <w:tc>
          <w:tcPr>
            <w:tcW w:w="18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Ростовская область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Ветераны боевых действий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Свыше 35 человек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3% от коллектива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ст. 3 Закона Ростовской области от 26.02.2026 № 418-ЗС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18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Республика Дагестан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Граждане, принимавшие участие в специальной военной операции (в составе общей квоты)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Свыше 100 человек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2% от среднесписочного состава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ст. 3, 4 Закона Республики Дагестан от 15.11.2019 № 99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18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Пензенская область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Участники специальной военной операции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От 36 до 100 человек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Свыше 100 человек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1 постоянное рабочее место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1% от среднесписочной численности</w:t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ст. 2, 4 Закона Пензенской области от 26.09.2025 N 4630-ЗПО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18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Республика Башкортостан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5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Участники СВО, завершившие мобилизацию, контракт или деятельность в добровольческих отрядах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От 100 человек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1% от штатной численности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240" w:after="24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none"/>
              </w:rPr>
              <w:t xml:space="preserve">ст. 2, 3, 4 Закона Республики Башкортостан от 22.12.2025 № 394-з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ind w:firstLine="709"/>
        <w:jc w:val="both"/>
        <w:spacing w:before="0" w:beforeAutospacing="0"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beforeAutospacing="0" w:after="0" w:line="250" w:lineRule="atLeast"/>
        <w:rPr>
          <w:b/>
          <w:bCs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highlight w:val="none"/>
        </w:rPr>
        <w:t xml:space="preserve">3.Цели вводимого правового регулирования и измеримые показатели их достижения:</w:t>
      </w:r>
      <w:r>
        <w:rPr>
          <w:b/>
          <w:bCs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beforeAutospacing="0" w:after="0" w:line="250" w:lineRule="atLeast"/>
        <w:rPr>
          <w:b/>
          <w:bCs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highlight w:val="none"/>
        </w:rPr>
        <w:t xml:space="preserve">3.1. Описание целей предлагаемого правового регулирования:</w:t>
      </w:r>
      <w:r>
        <w:rPr>
          <w:b/>
          <w:bCs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beforeAutospacing="0" w:after="0" w:line="250" w:lineRule="atLeast"/>
        <w:rPr>
          <w:b/>
          <w:bCs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оказания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содействия приоритетному трудоустройству лиц, принимавших участие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в специальной военной операции.</w:t>
      </w:r>
      <w:r>
        <w:rPr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beforeAutospacing="0" w:after="0" w:line="250" w:lineRule="atLeast"/>
        <w:rPr>
          <w:b/>
          <w:bCs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highlight w:val="none"/>
        </w:rPr>
        <w:t xml:space="preserve">3.2. Обоснование соответствия целей предлагаемого правового регулирования принципам правового регулирования:</w:t>
      </w:r>
      <w:r>
        <w:rPr>
          <w:b/>
          <w:bCs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beforeAutospacing="0" w:after="0" w:line="250" w:lineRule="atLeast"/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6"/>
          <w:highlight w:val="none"/>
        </w:rPr>
        <w:t xml:space="preserve">Пр</w:t>
      </w:r>
      <w:r>
        <w:rPr>
          <w:rFonts w:ascii="Times New Roman" w:hAnsi="Times New Roman" w:eastAsia="Times New Roman" w:cs="Times New Roman"/>
          <w:color w:val="000000"/>
          <w:sz w:val="26"/>
          <w:highlight w:val="none"/>
        </w:rPr>
        <w:t xml:space="preserve">едставленный проект закона области подготовлен во исполнение Указа Президента Российской Федерации от 15 мая 2026 года № 327 «О единых базовы</w:t>
      </w:r>
      <w:r>
        <w:rPr>
          <w:rFonts w:ascii="Times New Roman" w:hAnsi="Times New Roman" w:eastAsia="Times New Roman" w:cs="Times New Roman"/>
          <w:color w:val="000000"/>
          <w:sz w:val="26"/>
          <w:highlight w:val="none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6"/>
          <w:highlight w:val="none"/>
        </w:rPr>
        <w:t xml:space="preserve"> мерах поддержки лиц, принимающих (принимавших) участие в специальной военной операции,и других категорий лиц в субъектах Российской Федерации» и в рамках полномочий в сфере занятости населения, предоставленных органам государственной власти субъектов Росс</w:t>
      </w:r>
      <w:r>
        <w:rPr>
          <w:rFonts w:ascii="Times New Roman" w:hAnsi="Times New Roman" w:eastAsia="Times New Roman" w:cs="Times New Roman"/>
          <w:color w:val="000000"/>
          <w:sz w:val="26"/>
          <w:highlight w:val="none"/>
        </w:rPr>
        <w:t xml:space="preserve">ийской Федерации Федеральным законом от 12 декабря </w:t>
        <w:br/>
        <w:t xml:space="preserve">2023 года № 565-ФЗ «О занятости населения в Российской Федерации».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3.3. Сроки достижения целей предлагаемого правового регулирования: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декабрь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202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7 год.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3.4.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  <w:lang w:val="en-US"/>
        </w:rPr>
        <w:t xml:space="preserve"> 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Иная информация о целях предлагаемого правового регулирования: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Отсутствует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contextualSpacing/>
        <w:ind w:left="709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  <w:lang w:eastAsia="ru-RU"/>
        </w:rPr>
        <w:t xml:space="preserve">4. Описание пр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  <w:lang w:eastAsia="ru-RU"/>
        </w:rPr>
        <w:t xml:space="preserve">едлагаемого правового регулирования: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4.1. Описание предлагаемого способа решения проблемы и преодоления связанны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х с ней негативных эффектов: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beforeAutospacing="0" w:after="0" w:line="250" w:lineRule="atLeast"/>
        <w:rPr>
          <w:rFonts w:ascii="Times New Roman" w:hAnsi="Times New Roman" w:eastAsia="Times New Roman" w:cs="Times New Roman"/>
          <w:color w:val="00000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Проектом закона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на территории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Белгородской области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станавливается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дополнительная мера государственной поддержки, направленная на содействие занятости участников специальной военной операции, в виде квоты для приема</w:t>
        <w:br/>
        <w:t xml:space="preserve">их на работу.</w:t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Квота для приема на работу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участников специальной военной операции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устанавливается работодателям, у которых численность работников превышает 100 человек, в размере одного процента от среднесписочной численности работников.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Выполнением работодателем квоты для приема на работу участников СВО предлагается считать заключение трудового договора с участником специальной военной операции.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sz w:val="26"/>
          <w:szCs w:val="26"/>
          <w:highlight w:val="none"/>
        </w:rPr>
        <w:t xml:space="preserve">Обязанность работодателя по выполнению квоты также будет считаться исполненной в случае прохождения участником СВО обучения в целях трудоустройства к данному работодателю, подтвержденного соглашением работодателя с органами службы занятости.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sz w:val="26"/>
          <w:szCs w:val="26"/>
          <w:highlight w:val="none"/>
        </w:rPr>
        <w:t xml:space="preserve">Законопроектом также определяются порядок расчета квоты, категории работников, которые не включаются в среднесписочную численность при расчете квоты, а также случаи освобождения работодателей от выполнения квоты.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b/>
          <w:bCs/>
          <w:color w:val="000000" w:themeColor="text1"/>
          <w:sz w:val="26"/>
          <w:szCs w:val="26"/>
          <w:highlight w:val="none"/>
          <w:lang w:eastAsia="ru-RU"/>
        </w:rPr>
        <w:t xml:space="preserve">4.2. Альтернативные варианты решения проблемы:</w:t>
      </w:r>
      <w:r>
        <w:rPr>
          <w:rFonts w:ascii="Times New Roman" w:hAnsi="Times New Roman" w:eastAsia="Tinos" w:cs="Times New Roman"/>
          <w:color w:val="000000" w:themeColor="text1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nos" w:cs="Times New Roman"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color w:val="000000" w:themeColor="text1"/>
          <w:sz w:val="26"/>
          <w:szCs w:val="26"/>
          <w:highlight w:val="none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1) Невмешательство: сохранение текущего положения,</w:t>
      </w:r>
      <w:r>
        <w:rPr>
          <w:rFonts w:ascii="Times New Roman" w:hAnsi="Times New Roman" w:eastAsia="Tinos" w:cs="Times New Roman"/>
          <w:color w:val="000000" w:themeColor="text1"/>
          <w:sz w:val="26"/>
          <w:szCs w:val="26"/>
          <w:highlight w:val="none"/>
          <w:lang w:eastAsia="ru-RU"/>
        </w:rPr>
        <w:t xml:space="preserve"> непринятие закона </w:t>
      </w:r>
      <w:r>
        <w:rPr>
          <w:rFonts w:ascii="Times New Roman" w:hAnsi="Times New Roman" w:eastAsia="Tinos" w:cs="Times New Roman"/>
          <w:sz w:val="26"/>
          <w:szCs w:val="26"/>
          <w:highlight w:val="none"/>
          <w:lang w:eastAsia="ru-RU"/>
        </w:rPr>
        <w:t xml:space="preserve">Белгородской области «О квотировании рабочих мест для трудоустройства участников специальной военной операции на территории Белгородской области»</w:t>
      </w:r>
      <w:r>
        <w:rPr>
          <w:rFonts w:ascii="Times New Roman" w:hAnsi="Times New Roman" w:eastAsia="Tinos" w:cs="Times New Roman"/>
          <w:color w:val="000000" w:themeColor="text1"/>
          <w:sz w:val="26"/>
          <w:szCs w:val="26"/>
          <w:highlight w:val="none"/>
        </w:rPr>
        <w:t xml:space="preserve">;</w:t>
      </w:r>
      <w:r>
        <w:rPr>
          <w:rFonts w:ascii="Times New Roman" w:hAnsi="Times New Roman" w:eastAsia="Tinos" w:cs="Times New Roman"/>
          <w:color w:val="000000" w:themeColor="text1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708"/>
        <w:jc w:val="both"/>
        <w:spacing w:before="240"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nos" w:cs="Times New Roman"/>
          <w:color w:val="000000" w:themeColor="text1"/>
          <w:sz w:val="26"/>
          <w:szCs w:val="26"/>
          <w:highlight w:val="none"/>
        </w:rPr>
        <w:t xml:space="preserve">2)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Прямое государственное регулирование (форма):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before="240" w:after="0" w:afterAutospacing="0" w:line="240" w:lineRule="auto"/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-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установить квоту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для приема на работу участников специальной военной операции в размере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1 постоянное рабочее место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при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исленности работников компании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 от 36 до 100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человек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1% от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штата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при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исленности работников компании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выше 100 человек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before="240" w:after="0" w:afterAutospacing="0" w:line="240" w:lineRule="auto"/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- установить квоту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для приема на работу участников специальной военной операции в размере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2% от штата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при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исленности работников компании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 от 35 до 100 человек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3% от штата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при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исленности работников компании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</w:rPr>
        <w:t xml:space="preserve">выше 100 человек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6"/>
          <w:szCs w:val="26"/>
          <w:highlight w:val="none"/>
        </w:rPr>
        <w:t xml:space="preserve">4.3. Обоснование выбора предлагаемого способа решения проблемы: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Оптимальным вариантом нормативного регулирования, по мнению разработчика, является принятие закона </w:t>
      </w:r>
      <w:r>
        <w:rPr>
          <w:rFonts w:ascii="Times New Roman" w:hAnsi="Times New Roman" w:eastAsia="Calibri" w:cs="Times New Roman"/>
          <w:sz w:val="26"/>
          <w:szCs w:val="26"/>
          <w:highlight w:val="none"/>
          <w:lang w:eastAsia="ru-RU"/>
        </w:rPr>
        <w:t xml:space="preserve">Белгородской области «О квотировании рабочих мест для трудоустройства участников специальной военной операции на территории Белгородской области»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.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tabs>
          <w:tab w:val="right" w:pos="9354" w:leader="none"/>
        </w:tabs>
        <w:rPr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Поддержка участников СВО – важнейшее направление деятельности орга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нов власти всех уровней.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Указом Президента Российской Федерации от 15.05.2026 № 327 содействие приоритетному трудоустройству участников СВО названо в качестве одной из единых базовых мер поддержки лиц, принимавших участие в СВО. </w:t>
      </w:r>
      <w:r>
        <w:rPr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Квотирование рабочих мест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будет являться одной из гарантий для трудоустройства данной категории граждан.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Выбор предлагаемого способа регулирования обусловлен необходимостью создания действенного механизма  реализации федеральных гарантий на региональном у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ровне. Установление квоты для участников СВО является наиболее эффективной и социально оправданной мерой. Именно квотирование позволяет реализовать право на приоритетное трудоустройство и гарантированную государством возможность получения рабочего места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.</w:t>
      </w:r>
      <w:r>
        <w:rPr>
          <w:highlight w:val="none"/>
        </w:rPr>
        <w:t xml:space="preserve">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Возможность гарантированного трудоустройства обеспечит уверенность в дальнейшей стабильности  трудовой деятельности данной категории граждан.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Установленный </w:t>
      </w:r>
      <w:r>
        <w:rPr>
          <w:rFonts w:ascii="Times New Roman" w:hAnsi="Times New Roman" w:eastAsia="Calibri" w:cs="Times New Roman"/>
          <w:sz w:val="26"/>
          <w:szCs w:val="26"/>
          <w:highlight w:val="none"/>
          <w:lang w:eastAsia="ru-RU"/>
        </w:rPr>
        <w:t xml:space="preserve">проектом закона</w:t>
      </w:r>
      <w:r>
        <w:rPr>
          <w:rFonts w:ascii="Times New Roman" w:hAnsi="Times New Roman" w:eastAsia="Calibri" w:cs="Times New Roman"/>
          <w:color w:val="c0504d" w:themeColor="accent2"/>
          <w:sz w:val="36"/>
          <w:szCs w:val="36"/>
          <w:highlight w:val="none"/>
        </w:rPr>
        <w:t xml:space="preserve">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размер квоты позволит создать баланс между обеспечением социальной защиты участников СВО и административной нагрузкой работодателей.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Реализация проекта закона позволит обеспечить занятость участников СВО. Участники СВО должны чувствовать, что они востребованы и в мирной жизни, могут реализовать себя, работать и обеспечивать свою семью. </w:t>
      </w:r>
      <w:r>
        <w:rPr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Предлагаемое регулирование направлено на адаптацию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участников СВО, когда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каждый вернувшийся участник СВО будет охвачен соответствующими мерами в зависимости от его жизненной ситуации и п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отребностей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Согласно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информации,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полученной от отделения СФР по Белгородской области,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количество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работодателей со среднесписочной численностью более 100 человек,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на которых будет распространяться обязанность по квотированию,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t xml:space="preserve">по состоянию на 2 квартал 2026 года составляет 653.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left="0" w:right="0" w:firstLine="708"/>
        <w:jc w:val="both"/>
        <w:spacing w:after="0" w:line="240" w:lineRule="auto"/>
        <w:rPr>
          <w:b w:val="0"/>
          <w:bCs w:val="0"/>
          <w:highlight w:val="none"/>
        </w:rPr>
      </w:pPr>
      <w:r>
        <w:rPr>
          <w:rFonts w:ascii="Times New Roman" w:hAnsi="Times New Roman" w:eastAsia="Tinos" w:cs="Times New Roman"/>
          <w:b w:val="0"/>
          <w:bCs w:val="0"/>
          <w:sz w:val="26"/>
          <w:szCs w:val="26"/>
          <w:highlight w:val="none"/>
          <w:lang w:eastAsia="ru-RU"/>
        </w:rPr>
        <w:t xml:space="preserve">Общая стоимость трудозатрат одного работодателя в год составит</w:t>
      </w:r>
      <w:r>
        <w:rPr>
          <w:rFonts w:ascii="Times New Roman" w:hAnsi="Times New Roman" w:eastAsia="Tinos" w:cs="Times New Roman"/>
          <w:b w:val="0"/>
          <w:bCs w:val="0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eastAsia="Tinos" w:cs="Times New Roman"/>
          <w:b w:val="0"/>
          <w:bCs w:val="0"/>
          <w:sz w:val="26"/>
          <w:szCs w:val="26"/>
          <w:highlight w:val="none"/>
          <w:lang w:eastAsia="ru-RU"/>
        </w:rPr>
        <w:t xml:space="preserve">6348,72 руб.</w:t>
      </w:r>
      <w:r>
        <w:rPr>
          <w:rFonts w:ascii="Times New Roman" w:hAnsi="Times New Roman" w:eastAsia="Tinos" w:cs="Times New Roman"/>
          <w:b w:val="0"/>
          <w:bCs w:val="0"/>
          <w:sz w:val="26"/>
          <w:szCs w:val="26"/>
          <w:highlight w:val="none"/>
          <w:lang w:eastAsia="ru-RU"/>
        </w:rPr>
        <w:t xml:space="preserve"> </w:t>
      </w:r>
      <w:r>
        <w:rPr>
          <w:b w:val="0"/>
          <w:bCs w:val="0"/>
          <w:highlight w:val="none"/>
        </w:rPr>
      </w:r>
      <w:r>
        <w:rPr>
          <w:highlight w:val="none"/>
        </w:rPr>
      </w:r>
    </w:p>
    <w:p>
      <w:pPr>
        <w:ind w:left="0" w:right="0" w:firstLine="708"/>
        <w:jc w:val="both"/>
        <w:spacing w:after="0" w:line="240" w:lineRule="auto"/>
        <w:rPr>
          <w:b w:val="0"/>
          <w:bCs w:val="0"/>
          <w:highlight w:val="none"/>
        </w:rPr>
      </w:pPr>
      <w:r>
        <w:rPr>
          <w:rFonts w:ascii="Times New Roman" w:hAnsi="Times New Roman" w:eastAsia="Tinos" w:cs="Times New Roman"/>
          <w:b w:val="0"/>
          <w:bCs w:val="0"/>
          <w:sz w:val="26"/>
          <w:szCs w:val="26"/>
          <w:highlight w:val="none"/>
          <w:lang w:eastAsia="ru-RU"/>
        </w:rPr>
        <w:t xml:space="preserve">Общая стоимость трудозатрат в год 653 работодателей: </w:t>
      </w:r>
      <w:r>
        <w:rPr>
          <w:rFonts w:ascii="Times New Roman" w:hAnsi="Times New Roman" w:eastAsia="Tinos" w:cs="Times New Roman"/>
          <w:b w:val="0"/>
          <w:bCs w:val="0"/>
          <w:sz w:val="26"/>
          <w:szCs w:val="26"/>
          <w:highlight w:val="none"/>
          <w:lang w:eastAsia="ru-RU"/>
        </w:rPr>
        <w:t xml:space="preserve">4145,71 тыс. руб.</w:t>
      </w:r>
      <w:r>
        <w:rPr>
          <w:b w:val="0"/>
          <w:bCs w:val="0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4.4.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  <w:lang w:eastAsia="ru-RU"/>
        </w:rPr>
        <w:t xml:space="preserve"> 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Основные группы субъектов предпринимательской и иной экономической деятельности, </w:t>
      </w: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  <w:t xml:space="preserve">иные заинтересованные лица, включая органы государственной власти, интересы которых будут затронуты предлагаемым правовым регулированием. Оценка их количественного состава:</w:t>
      </w: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  <w:highlight w:val="none"/>
        </w:rPr>
      </w:pPr>
      <w:r>
        <w:rPr>
          <w:rFonts w:ascii="Times New Roman" w:hAnsi="Times New Roman" w:eastAsia="Calibri" w:cs="Times New Roman"/>
          <w:sz w:val="20"/>
          <w:szCs w:val="20"/>
          <w:highlight w:val="none"/>
        </w:rPr>
      </w:r>
      <w:r>
        <w:rPr>
          <w:rFonts w:ascii="Times New Roman" w:hAnsi="Times New Roman" w:eastAsia="Calibri" w:cs="Times New Roman"/>
          <w:sz w:val="20"/>
          <w:szCs w:val="20"/>
          <w:highlight w:val="none"/>
        </w:rPr>
      </w:r>
      <w:r>
        <w:rPr>
          <w:highlight w:val="none"/>
        </w:rPr>
      </w:r>
    </w:p>
    <w:tbl>
      <w:tblPr>
        <w:tblpPr w:horzAnchor="margin" w:tblpXSpec="left" w:vertAnchor="text" w:tblpY="50" w:leftFromText="180" w:topFromText="0" w:rightFromText="180" w:bottomFromText="0"/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5"/>
        <w:gridCol w:w="4002"/>
      </w:tblGrid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5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Группа участников отношений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Оценка количества участников отношений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5" w:type="dxa"/>
            <w:textDirection w:val="lrTb"/>
            <w:noWrap w:val="false"/>
          </w:tcPr>
          <w:p>
            <w:pPr>
              <w:ind w:right="57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Организации независимо от их организационно-правовых форм и форм собственности, индивидуальные предприниматели, осуществляющие свою деятельность на территории Белгородской области,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со среднесписочной численностью более 100 человек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2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none"/>
              </w:rPr>
              <w:t xml:space="preserve">653 ед.</w:t>
            </w:r>
            <w:r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4.5. Оценка изменений обязательных требований, обязанностей, ограничений 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и преимуществ,</w:t>
      </w: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  <w:t xml:space="preserve"> ответственности за нарушение нормативных правовых актов Белгородской области, расходов и доходов, а также ожидаемых издержек и выгод </w:t>
      </w: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  <w:br/>
        <w:t xml:space="preserve">для субъектов предпринимательской и иной экономической деятельности, интересы которых затрагиваются вводимым правовым регулированием:</w:t>
      </w: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r>
      <w:r>
        <w:rPr>
          <w:highlight w:val="none"/>
        </w:rPr>
      </w:r>
    </w:p>
    <w:tbl>
      <w:tblPr>
        <w:tblpPr w:horzAnchor="margin" w:tblpXSpec="left" w:vertAnchor="text" w:tblpY="69" w:leftFromText="180" w:topFromText="0" w:rightFromText="180" w:bottomFromText="0"/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4"/>
        <w:gridCol w:w="3544"/>
        <w:gridCol w:w="3289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4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Группа участников отношений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Описание новых или изменения содержания существующих обязательных требований, обязанностей, ограничений, преимуществ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89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Оценка изменения расходов/доходов,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издержек/выгод,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тыс.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ind w:right="57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</w:rPr>
              <w:t xml:space="preserve">Организации независимо от их организационно-правовых форм и форм собственности, индивидуальные предприниматели, осуществляющие свою деятельность на территории Белгородской области, </w:t>
            </w: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</w:rPr>
              <w:t xml:space="preserve">со среднесписочной численностью более 100 человек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846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b/>
                <w:bCs/>
                <w:sz w:val="24"/>
                <w:szCs w:val="24"/>
                <w:highlight w:val="none"/>
                <w:lang w:eastAsia="en-US"/>
              </w:rPr>
              <w:t xml:space="preserve">Преимущества: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46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bCs/>
                <w:sz w:val="24"/>
                <w:szCs w:val="24"/>
                <w:highlight w:val="none"/>
                <w:lang w:eastAsia="en-US"/>
              </w:rPr>
              <w:t xml:space="preserve">-</w:t>
            </w: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</w:rPr>
              <w:t xml:space="preserve">прием на работу специалистов из числа участников СВО, обладающих необходимыми знаниями и компетенциями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89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b/>
                <w:bCs/>
                <w:sz w:val="24"/>
                <w:szCs w:val="24"/>
                <w:highlight w:val="none"/>
                <w:lang w:eastAsia="ru-RU"/>
              </w:rPr>
              <w:t xml:space="preserve">Общая стоимость трудозатрат</w:t>
            </w:r>
            <w:r>
              <w:rPr>
                <w:rFonts w:ascii="Times New Roman" w:hAnsi="Times New Roman" w:eastAsia="Tinos" w:cs="Times New Roman"/>
                <w:b/>
                <w:bCs/>
                <w:sz w:val="24"/>
                <w:szCs w:val="24"/>
                <w:highlight w:val="none"/>
                <w:lang w:eastAsia="ru-RU"/>
              </w:rPr>
              <w:t xml:space="preserve"> </w:t>
            </w:r>
            <w:r>
              <w:rPr>
                <w:rFonts w:ascii="Times New Roman" w:hAnsi="Times New Roman" w:eastAsia="Tinos" w:cs="Times New Roman"/>
                <w:b/>
                <w:sz w:val="24"/>
                <w:szCs w:val="24"/>
                <w:highlight w:val="none"/>
                <w:lang w:eastAsia="ru-RU"/>
              </w:rPr>
              <w:t xml:space="preserve">одного работодателя в год:</w:t>
            </w: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nos" w:cs="Times New Roman"/>
                <w:b/>
                <w:bCs/>
                <w:sz w:val="24"/>
                <w:szCs w:val="24"/>
                <w:highlight w:val="none"/>
                <w:lang w:eastAsia="ru-RU"/>
              </w:rPr>
              <w:t xml:space="preserve">6348,72 руб.</w:t>
            </w: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  <w:lang w:eastAsia="ru-RU"/>
              </w:rPr>
              <w:t xml:space="preserve">(</w:t>
            </w: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  <w:lang w:eastAsia="ru-RU"/>
              </w:rPr>
              <w:t xml:space="preserve">453,48 руб.</w:t>
            </w: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  <w:lang w:eastAsia="ru-RU"/>
              </w:rPr>
              <w:t xml:space="preserve">*</w:t>
            </w: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  <w:lang w:eastAsia="ru-RU"/>
              </w:rPr>
              <w:t xml:space="preserve">14 чел./часов</w:t>
            </w: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  <w:lang w:eastAsia="ru-RU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b/>
                <w:bCs/>
                <w:sz w:val="24"/>
                <w:szCs w:val="24"/>
                <w:highlight w:val="none"/>
                <w:lang w:eastAsia="ru-RU"/>
              </w:rPr>
              <w:t xml:space="preserve">Общая стоимость трудозатрат в год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b/>
                <w:bCs/>
                <w:sz w:val="24"/>
                <w:szCs w:val="24"/>
                <w:highlight w:val="none"/>
                <w:lang w:eastAsia="ru-RU"/>
              </w:rPr>
              <w:t xml:space="preserve">653 работодателей: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nos" w:cs="Times New Roman"/>
                <w:b/>
                <w:bCs/>
                <w:sz w:val="24"/>
                <w:szCs w:val="24"/>
                <w:highlight w:val="none"/>
                <w:lang w:eastAsia="ru-RU"/>
              </w:rPr>
              <w:t xml:space="preserve">4145,71 тыс. руб.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  <w:t xml:space="preserve">(</w:t>
            </w:r>
            <w:r>
              <w:rPr>
                <w:rFonts w:ascii="Times New Roman" w:hAnsi="Times New Roman" w:eastAsia="Tinos" w:cs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  <w:t xml:space="preserve">6348,72 руб.</w:t>
            </w:r>
            <w:r>
              <w:rPr>
                <w:rFonts w:ascii="Times New Roman" w:hAnsi="Times New Roman" w:eastAsia="Tinos" w:cs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  <w:t xml:space="preserve">*653 ед.)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cantSplit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846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nos" w:cs="Times New Roman"/>
                <w:b/>
                <w:bCs/>
                <w:sz w:val="26"/>
                <w:szCs w:val="26"/>
                <w:highlight w:val="none"/>
                <w:lang w:eastAsia="en-US"/>
              </w:rPr>
              <w:t xml:space="preserve">Обязанности: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46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6"/>
                <w:szCs w:val="26"/>
                <w:highlight w:val="none"/>
                <w:lang w:eastAsia="en-US"/>
              </w:rPr>
              <w:t xml:space="preserve">- </w:t>
            </w:r>
            <w:r>
              <w:rPr>
                <w:rFonts w:ascii="Times New Roman" w:hAnsi="Times New Roman" w:eastAsia="Tinos" w:cs="Times New Roman"/>
                <w:sz w:val="26"/>
                <w:szCs w:val="26"/>
                <w:highlight w:val="none"/>
              </w:rPr>
              <w:t xml:space="preserve"> предоставление ежемесячного отчета в ОКУ «Центр занятости населения Белгородской области»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46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6"/>
                <w:szCs w:val="26"/>
                <w:highlight w:val="none"/>
              </w:rPr>
              <w:t xml:space="preserve">- выделение рабочих мест для участников СВО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89" w:type="dxa"/>
            <w:vMerge w:val="continue"/>
            <w:textDirection w:val="lrTb"/>
            <w:noWrap w:val="false"/>
          </w:tcPr>
          <w:p>
            <w:pPr>
              <w:ind w:right="57" w:firstLine="709"/>
              <w:spacing w:after="0" w:line="240" w:lineRule="auto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r>
            <w:r/>
          </w:p>
        </w:tc>
      </w:tr>
    </w:tbl>
    <w:p>
      <w:pPr>
        <w:ind w:firstLine="709"/>
        <w:jc w:val="center"/>
        <w:spacing w:after="0" w:afterAutospacing="0" w:line="240" w:lineRule="auto"/>
        <w:rPr>
          <w:rFonts w:ascii="Tinos" w:hAnsi="Tinos" w:cs="Tinos"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Cs/>
          <w:sz w:val="24"/>
          <w:szCs w:val="24"/>
          <w:highlight w:val="none"/>
        </w:rPr>
      </w:r>
      <w:r>
        <w:rPr>
          <w:rFonts w:ascii="Tinos" w:hAnsi="Tinos" w:cs="Tinos"/>
          <w:bCs/>
          <w:sz w:val="24"/>
          <w:szCs w:val="24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4.6. Новые функции, полномочия, обязанности и права, а также ожидаемые издержки и выгоды органов государственной власти и органов местного самоуправления области или сведения об их изменении: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  <w:highlight w:val="none"/>
        </w:rPr>
      </w:pPr>
      <w:r>
        <w:rPr>
          <w:rFonts w:ascii="Times New Roman" w:hAnsi="Times New Roman" w:eastAsia="Calibri" w:cs="Times New Roman"/>
          <w:sz w:val="20"/>
          <w:szCs w:val="20"/>
          <w:highlight w:val="none"/>
        </w:rPr>
      </w:r>
      <w:r>
        <w:rPr>
          <w:rFonts w:ascii="Times New Roman" w:hAnsi="Times New Roman" w:eastAsia="Calibri" w:cs="Times New Roman"/>
          <w:sz w:val="20"/>
          <w:szCs w:val="20"/>
          <w:highlight w:val="none"/>
        </w:rPr>
      </w:r>
      <w:r>
        <w:rPr>
          <w:highlight w:val="none"/>
        </w:rPr>
      </w:r>
    </w:p>
    <w:tbl>
      <w:tblPr>
        <w:tblpPr w:horzAnchor="margin" w:tblpXSpec="left" w:vertAnchor="text" w:tblpY="75" w:leftFromText="180" w:topFromText="0" w:rightFromText="180" w:bottomFromText="0"/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827"/>
        <w:gridCol w:w="2835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Наименование органа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Описание новых или изменения существующих функций, полномочий, обязанностей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br/>
              <w:t xml:space="preserve">или прав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Оценка изменения трудозатрат и (или) потребностей в иных ресурсах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Министерство социальной защиты населения и труда Белгородской области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Функции министерства будут осуществляться в рамках ранее установленных полномочий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Дополнительные трудозатраты не потребуются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eastAsia="Calibri" w:cs="Times New Roman"/>
          <w:b/>
          <w:bCs/>
          <w:sz w:val="20"/>
          <w:szCs w:val="20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4.7. Оценка расходов (возможных поступлений) консолидированного бюджета Белгородской 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области:*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  <w:highlight w:val="none"/>
        </w:rPr>
      </w:pPr>
      <w:r>
        <w:rPr>
          <w:rFonts w:ascii="Times New Roman" w:hAnsi="Times New Roman" w:eastAsia="Calibri" w:cs="Times New Roman"/>
          <w:sz w:val="20"/>
          <w:szCs w:val="20"/>
          <w:highlight w:val="none"/>
        </w:rPr>
      </w:r>
      <w:r>
        <w:rPr>
          <w:rFonts w:ascii="Times New Roman" w:hAnsi="Times New Roman" w:eastAsia="Calibri" w:cs="Times New Roman"/>
          <w:sz w:val="20"/>
          <w:szCs w:val="20"/>
          <w:highlight w:val="none"/>
        </w:rPr>
      </w:r>
      <w:r>
        <w:rPr>
          <w:highlight w:val="none"/>
        </w:rPr>
      </w:r>
    </w:p>
    <w:tbl>
      <w:tblPr>
        <w:tblpPr w:horzAnchor="margin" w:tblpXSpec="left" w:vertAnchor="text" w:tblpY="58" w:leftFromText="180" w:topFromText="0" w:rightFromText="180" w:bottomFromText="0"/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3402"/>
        <w:gridCol w:w="3435"/>
      </w:tblGrid>
      <w:tr>
        <w:trPr/>
        <w:tc>
          <w:tcPr>
            <w:tcW w:w="2830" w:type="dxa"/>
            <w:textDirection w:val="lrTb"/>
            <w:noWrap w:val="false"/>
          </w:tcPr>
          <w:p>
            <w:pPr>
              <w:ind w:left="-35" w:right="-25" w:firstLine="35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Описание новых или изменения существующих функций, полномочий, обязанностей или прав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Описание видов расходов (возможных поступлений) консолидированного бюджета Белгородской области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Количественная оценка расходов и возможных поступлений,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тыс. руб.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2830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Министерство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социальной защиты населения и труда 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Белгородской области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eastAsia="Calibri" w:cs="Times New Roman"/>
          <w:b/>
          <w:bCs/>
          <w:sz w:val="20"/>
          <w:szCs w:val="20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  <w:lang w:eastAsia="ru-RU"/>
        </w:rPr>
        <w:t xml:space="preserve">4.8. Информация о наличии или отсутствии в проекте нормативного правового акта обязательных требований: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 нормативно-правовой акт предусматривает обязательные требования в части приема на работу участников СВО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 Так, предлагается установить квоту для приема на работу участников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СВО, завершивших участие в СВО, работодателям, у которых численность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работников превышает 100 человек, в размере одного процента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от среднесписочной численности работников.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Выполнением работодателем квоты для приема на работу участников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СВО предлагается считать заключение трудового договора с участником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специальной военной операции.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Обязанность работодателя по выполнению квоты также будет считаться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исполненной в случае прохождения участником СВО обучения в целях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трудоустройства к данному работодателю, подтвержденного соглашением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работодателя с органами службы занятости.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5. Риски решения проблемы предложенным способом правового регулирования и риски негативных последствий, в том числе для конкуренции, а также описание методов контроля эффективности избранного способа достижения целей регулирования:</w:t>
      </w: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r>
      <w:r>
        <w:rPr>
          <w:highlight w:val="none"/>
        </w:rPr>
      </w:r>
    </w:p>
    <w:tbl>
      <w:tblPr>
        <w:tblpPr w:horzAnchor="margin" w:tblpXSpec="left" w:vertAnchor="text" w:tblpY="189" w:leftFromText="180" w:topFromText="0" w:rightFromText="180" w:bottomFromText="0"/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1951"/>
        <w:gridCol w:w="3860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Риски решения проблемы предложенным способом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и риски негативных последствий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Оценка вероятности наступления рисков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Методы контроля эффективности избранного способа достижения целей регулирования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ind w:right="57"/>
              <w:jc w:val="both"/>
              <w:keepNext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iCs/>
                <w:sz w:val="24"/>
                <w:szCs w:val="24"/>
                <w:highlight w:val="none"/>
              </w:rPr>
              <w:t xml:space="preserve">Недостаточная информационное взаимодействие с работодателями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bCs/>
                <w:sz w:val="24"/>
                <w:szCs w:val="24"/>
                <w:highlight w:val="none"/>
              </w:rPr>
              <w:t xml:space="preserve">низкая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0" w:type="dxa"/>
            <w:vAlign w:val="center"/>
            <w:textDirection w:val="lrTb"/>
            <w:noWrap w:val="false"/>
          </w:tcPr>
          <w:p>
            <w:pPr>
              <w:contextualSpacing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bCs/>
                <w:sz w:val="24"/>
                <w:szCs w:val="24"/>
                <w:highlight w:val="none"/>
              </w:rPr>
              <w:t xml:space="preserve">Организация  совещаний, встреч с работодателями, информационная кампания в СМИ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4"/>
                <w:szCs w:val="24"/>
                <w:highlight w:val="none"/>
              </w:rPr>
              <w:t xml:space="preserve">Неполный охват работодателей региона в рамках проведения информационной кампании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bCs/>
                <w:sz w:val="24"/>
                <w:szCs w:val="24"/>
                <w:highlight w:val="none"/>
              </w:rPr>
              <w:t xml:space="preserve">низкая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0" w:type="dxa"/>
            <w:vAlign w:val="center"/>
            <w:textDirection w:val="lrTb"/>
            <w:noWrap w:val="false"/>
          </w:tcPr>
          <w:p>
            <w:pPr>
              <w:contextualSpacing/>
              <w:spacing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nos" w:cs="Times New Roman"/>
                <w:bCs/>
                <w:sz w:val="24"/>
                <w:szCs w:val="24"/>
                <w:highlight w:val="none"/>
              </w:rPr>
              <w:t xml:space="preserve">Взаимодействие с главами муниципальных образований по вопросу охвата  всех работодателей информационной кампанией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6. Необходимые для достижения заявленных целей регулирования организационно-технические, методологические, информационные и иные 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мероприятия:*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r>
      <w:r>
        <w:rPr>
          <w:highlight w:val="none"/>
        </w:rPr>
      </w:r>
    </w:p>
    <w:tbl>
      <w:tblPr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8"/>
        <w:gridCol w:w="1417"/>
        <w:gridCol w:w="4"/>
        <w:gridCol w:w="1414"/>
        <w:gridCol w:w="1276"/>
        <w:gridCol w:w="1308"/>
      </w:tblGrid>
      <w:tr>
        <w:trPr>
          <w:trHeight w:val="6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Мероприятия, необходимые для достижения целей регулирования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right="-32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Сроки реализации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Описание ожидаемого результата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Объем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финансиро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-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вания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Источники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финансиро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-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вания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8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Размещение информации о принятии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eastAsia="ru-RU"/>
              </w:rPr>
              <w:t xml:space="preserve">проекта закона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Белгородской области на официальном сайте министерства (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minsoc.b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elregion.ru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)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 и на едином портале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right="117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1 марта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117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202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7 года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Информа-ционное сопровож-дение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нет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8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нет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48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Консультирование работодателей сотрудниками министерства социальной защиты населения и труда области, специалистами территориальных отделов – кадровых центров ОКУ «Центр занятости населения Белгородской области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Merge w:val="restart"/>
            <w:textDirection w:val="lrTb"/>
            <w:noWrap w:val="false"/>
          </w:tcPr>
          <w:p>
            <w:pPr>
              <w:ind w:right="117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На постоянной основе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vMerge w:val="restart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Информа-ционное сопровож-дение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нет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8" w:type="dxa"/>
            <w:vAlign w:val="center"/>
            <w:vMerge w:val="restart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нет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8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Мониторинг трудоустройства участников СВО на квотируемые рабочие места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right="117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Декабрь 202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7 года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ind w:left="-27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Повышение уровня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-27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труд-ва участников СВО до уровня 80%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нет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8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нет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ind w:firstLine="709"/>
        <w:spacing w:after="0" w:line="240" w:lineRule="auto"/>
        <w:rPr>
          <w:rFonts w:ascii="Times New Roman" w:hAnsi="Times New Roman" w:eastAsia="Calibri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b w:val="0"/>
          <w:bCs w:val="0"/>
          <w:sz w:val="28"/>
          <w:szCs w:val="28"/>
          <w:highlight w:val="none"/>
        </w:rPr>
      </w:r>
      <w:r>
        <w:rPr>
          <w:highlight w:val="none"/>
        </w:rPr>
      </w:r>
    </w:p>
    <w:p>
      <w:pPr>
        <w:ind w:firstLine="709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  <w:t xml:space="preserve">7. Ожидаемые измеримые результаты правового </w:t>
      </w: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  <w:t xml:space="preserve">регулирования:*</w:t>
      </w: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highlight w:val="none"/>
        </w:rPr>
      </w:r>
      <w:r>
        <w:rPr>
          <w:highlight w:val="none"/>
        </w:rPr>
      </w:r>
    </w:p>
    <w:tbl>
      <w:tblPr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418"/>
        <w:gridCol w:w="2126"/>
        <w:gridCol w:w="2126"/>
      </w:tblGrid>
      <w:tr>
        <w:trPr>
          <w:trHeight w:val="171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Ключевые показатели достижения целей, заявленных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br/>
              <w:t xml:space="preserve">в предложенном регулировании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ind w:left="-106" w:right="-103" w:firstLine="106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Коли-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чественное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 значение ключевых показателей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Методы контроля эффективности достижения целей правового регулирования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Срок оценки достижения ключевых показателей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br/>
              <w:t xml:space="preserve">(не более 5 лет)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280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0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1. К декабрю 202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7 года трудоустройство участников СВО на квотируемые рабочие места и заполнение квотируемых рабочих мест на 80%.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80 %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ind w:left="36" w:right="37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Контроль отчетности, сдаваемой работодателями в ОКУ «Центр занятости населения Белгородской области».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Декабрь 202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  <w:t xml:space="preserve">7 года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  <w:t xml:space="preserve">8. Предполагаемая дата вступления в силу проекта нормативного правового акта: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1 марта 2027 года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.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1"/>
        <w:gridCol w:w="460"/>
        <w:gridCol w:w="1356"/>
        <w:gridCol w:w="451"/>
        <w:gridCol w:w="451"/>
        <w:gridCol w:w="1770"/>
      </w:tblGrid>
      <w:tr>
        <w:trPr>
          <w:trHeight w:val="419"/>
        </w:trPr>
        <w:tc>
          <w:tcPr>
            <w:shd w:val="clear" w:color="ffffff" w:fill="ffffff"/>
            <w:tcW w:w="52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highlight w:val="none"/>
                <w:lang w:eastAsia="ru-RU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4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13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highlight w:val="none"/>
              </w:rPr>
            </w:r>
          </w:p>
        </w:tc>
        <w:tc>
          <w:tcPr>
            <w:tcW w:w="4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4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18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highlight w:val="none"/>
              </w:rPr>
            </w:r>
          </w:p>
        </w:tc>
      </w:tr>
    </w:tbl>
    <w:p>
      <w:pPr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  <w:i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Calibri" w:cs="Times New Roman"/>
          <w:b/>
          <w:bCs/>
          <w:i/>
          <w:sz w:val="26"/>
          <w:szCs w:val="26"/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567" w:right="566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17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2" w:default="1">
    <w:name w:val="Normal"/>
    <w:qFormat/>
  </w:style>
  <w:style w:type="paragraph" w:styleId="643">
    <w:name w:val="Heading 1"/>
    <w:basedOn w:val="642"/>
    <w:next w:val="642"/>
    <w:link w:val="670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44">
    <w:name w:val="Heading 2"/>
    <w:basedOn w:val="642"/>
    <w:next w:val="642"/>
    <w:link w:val="671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45">
    <w:name w:val="Heading 3"/>
    <w:basedOn w:val="642"/>
    <w:next w:val="642"/>
    <w:link w:val="672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46">
    <w:name w:val="Heading 4"/>
    <w:basedOn w:val="642"/>
    <w:next w:val="642"/>
    <w:link w:val="67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7">
    <w:name w:val="Heading 5"/>
    <w:basedOn w:val="642"/>
    <w:next w:val="642"/>
    <w:link w:val="674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8">
    <w:name w:val="Heading 6"/>
    <w:basedOn w:val="642"/>
    <w:next w:val="642"/>
    <w:link w:val="675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9">
    <w:name w:val="Heading 7"/>
    <w:basedOn w:val="642"/>
    <w:next w:val="642"/>
    <w:link w:val="676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50">
    <w:name w:val="Heading 8"/>
    <w:basedOn w:val="642"/>
    <w:next w:val="642"/>
    <w:link w:val="677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51">
    <w:name w:val="Heading 9"/>
    <w:basedOn w:val="642"/>
    <w:next w:val="642"/>
    <w:link w:val="678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2" w:default="1">
    <w:name w:val="Default Paragraph Font"/>
    <w:uiPriority w:val="1"/>
    <w:semiHidden/>
    <w:unhideWhenUsed/>
  </w:style>
  <w:style w:type="table" w:styleId="6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4" w:default="1">
    <w:name w:val="No List"/>
    <w:uiPriority w:val="99"/>
    <w:semiHidden/>
    <w:unhideWhenUsed/>
  </w:style>
  <w:style w:type="character" w:styleId="655" w:customStyle="1">
    <w:name w:val="Heading 1 Char"/>
    <w:basedOn w:val="652"/>
    <w:uiPriority w:val="9"/>
    <w:rPr>
      <w:rFonts w:ascii="Arial" w:hAnsi="Arial" w:eastAsia="Arial" w:cs="Arial"/>
      <w:sz w:val="40"/>
      <w:szCs w:val="40"/>
    </w:rPr>
  </w:style>
  <w:style w:type="character" w:styleId="656" w:customStyle="1">
    <w:name w:val="Heading 2 Char"/>
    <w:basedOn w:val="652"/>
    <w:uiPriority w:val="9"/>
    <w:rPr>
      <w:rFonts w:ascii="Arial" w:hAnsi="Arial" w:eastAsia="Arial" w:cs="Arial"/>
      <w:sz w:val="34"/>
    </w:rPr>
  </w:style>
  <w:style w:type="character" w:styleId="657" w:customStyle="1">
    <w:name w:val="Heading 3 Char"/>
    <w:basedOn w:val="652"/>
    <w:uiPriority w:val="9"/>
    <w:rPr>
      <w:rFonts w:ascii="Arial" w:hAnsi="Arial" w:eastAsia="Arial" w:cs="Arial"/>
      <w:sz w:val="30"/>
      <w:szCs w:val="30"/>
    </w:rPr>
  </w:style>
  <w:style w:type="character" w:styleId="658" w:customStyle="1">
    <w:name w:val="Heading 4 Char"/>
    <w:basedOn w:val="652"/>
    <w:uiPriority w:val="9"/>
    <w:rPr>
      <w:rFonts w:ascii="Arial" w:hAnsi="Arial" w:eastAsia="Arial" w:cs="Arial"/>
      <w:b/>
      <w:bCs/>
      <w:sz w:val="26"/>
      <w:szCs w:val="26"/>
    </w:rPr>
  </w:style>
  <w:style w:type="character" w:styleId="659" w:customStyle="1">
    <w:name w:val="Heading 5 Char"/>
    <w:basedOn w:val="652"/>
    <w:uiPriority w:val="9"/>
    <w:rPr>
      <w:rFonts w:ascii="Arial" w:hAnsi="Arial" w:eastAsia="Arial" w:cs="Arial"/>
      <w:b/>
      <w:bCs/>
      <w:sz w:val="24"/>
      <w:szCs w:val="24"/>
    </w:rPr>
  </w:style>
  <w:style w:type="character" w:styleId="660" w:customStyle="1">
    <w:name w:val="Heading 6 Char"/>
    <w:basedOn w:val="652"/>
    <w:uiPriority w:val="9"/>
    <w:rPr>
      <w:rFonts w:ascii="Arial" w:hAnsi="Arial" w:eastAsia="Arial" w:cs="Arial"/>
      <w:b/>
      <w:bCs/>
      <w:sz w:val="22"/>
      <w:szCs w:val="22"/>
    </w:rPr>
  </w:style>
  <w:style w:type="character" w:styleId="661" w:customStyle="1">
    <w:name w:val="Heading 7 Char"/>
    <w:basedOn w:val="6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2" w:customStyle="1">
    <w:name w:val="Heading 8 Char"/>
    <w:basedOn w:val="652"/>
    <w:uiPriority w:val="9"/>
    <w:rPr>
      <w:rFonts w:ascii="Arial" w:hAnsi="Arial" w:eastAsia="Arial" w:cs="Arial"/>
      <w:i/>
      <w:iCs/>
      <w:sz w:val="22"/>
      <w:szCs w:val="22"/>
    </w:rPr>
  </w:style>
  <w:style w:type="character" w:styleId="663" w:customStyle="1">
    <w:name w:val="Heading 9 Char"/>
    <w:basedOn w:val="652"/>
    <w:uiPriority w:val="9"/>
    <w:rPr>
      <w:rFonts w:ascii="Arial" w:hAnsi="Arial" w:eastAsia="Arial" w:cs="Arial"/>
      <w:i/>
      <w:iCs/>
      <w:sz w:val="21"/>
      <w:szCs w:val="21"/>
    </w:rPr>
  </w:style>
  <w:style w:type="character" w:styleId="664" w:customStyle="1">
    <w:name w:val="Title Char"/>
    <w:basedOn w:val="652"/>
    <w:uiPriority w:val="10"/>
    <w:rPr>
      <w:sz w:val="48"/>
      <w:szCs w:val="48"/>
    </w:rPr>
  </w:style>
  <w:style w:type="character" w:styleId="665" w:customStyle="1">
    <w:name w:val="Subtitle Char"/>
    <w:basedOn w:val="652"/>
    <w:uiPriority w:val="11"/>
    <w:rPr>
      <w:sz w:val="24"/>
      <w:szCs w:val="24"/>
    </w:rPr>
  </w:style>
  <w:style w:type="character" w:styleId="666" w:customStyle="1">
    <w:name w:val="Quote Char"/>
    <w:uiPriority w:val="29"/>
    <w:rPr>
      <w:i/>
    </w:rPr>
  </w:style>
  <w:style w:type="character" w:styleId="667" w:customStyle="1">
    <w:name w:val="Intense Quote Char"/>
    <w:uiPriority w:val="30"/>
    <w:rPr>
      <w:i/>
    </w:rPr>
  </w:style>
  <w:style w:type="character" w:styleId="668" w:customStyle="1">
    <w:name w:val="Footnote Text Char"/>
    <w:uiPriority w:val="99"/>
    <w:rPr>
      <w:sz w:val="18"/>
    </w:rPr>
  </w:style>
  <w:style w:type="character" w:styleId="669" w:customStyle="1">
    <w:name w:val="Endnote Text Char"/>
    <w:uiPriority w:val="99"/>
    <w:rPr>
      <w:sz w:val="20"/>
    </w:rPr>
  </w:style>
  <w:style w:type="character" w:styleId="670" w:customStyle="1">
    <w:name w:val="Заголовок 1 Знак"/>
    <w:basedOn w:val="652"/>
    <w:link w:val="643"/>
    <w:uiPriority w:val="9"/>
    <w:rPr>
      <w:rFonts w:ascii="Arial" w:hAnsi="Arial" w:eastAsia="Arial" w:cs="Arial"/>
      <w:sz w:val="40"/>
      <w:szCs w:val="40"/>
    </w:rPr>
  </w:style>
  <w:style w:type="character" w:styleId="671" w:customStyle="1">
    <w:name w:val="Заголовок 2 Знак"/>
    <w:basedOn w:val="652"/>
    <w:link w:val="644"/>
    <w:uiPriority w:val="9"/>
    <w:rPr>
      <w:rFonts w:ascii="Arial" w:hAnsi="Arial" w:eastAsia="Arial" w:cs="Arial"/>
      <w:sz w:val="34"/>
    </w:rPr>
  </w:style>
  <w:style w:type="character" w:styleId="672" w:customStyle="1">
    <w:name w:val="Заголовок 3 Знак"/>
    <w:basedOn w:val="652"/>
    <w:link w:val="645"/>
    <w:uiPriority w:val="9"/>
    <w:rPr>
      <w:rFonts w:ascii="Arial" w:hAnsi="Arial" w:eastAsia="Arial" w:cs="Arial"/>
      <w:sz w:val="30"/>
      <w:szCs w:val="30"/>
    </w:rPr>
  </w:style>
  <w:style w:type="character" w:styleId="673" w:customStyle="1">
    <w:name w:val="Заголовок 4 Знак"/>
    <w:basedOn w:val="652"/>
    <w:link w:val="646"/>
    <w:uiPriority w:val="9"/>
    <w:rPr>
      <w:rFonts w:ascii="Arial" w:hAnsi="Arial" w:eastAsia="Arial" w:cs="Arial"/>
      <w:b/>
      <w:bCs/>
      <w:sz w:val="26"/>
      <w:szCs w:val="26"/>
    </w:rPr>
  </w:style>
  <w:style w:type="character" w:styleId="674" w:customStyle="1">
    <w:name w:val="Заголовок 5 Знак"/>
    <w:basedOn w:val="652"/>
    <w:link w:val="647"/>
    <w:uiPriority w:val="9"/>
    <w:rPr>
      <w:rFonts w:ascii="Arial" w:hAnsi="Arial" w:eastAsia="Arial" w:cs="Arial"/>
      <w:b/>
      <w:bCs/>
      <w:sz w:val="24"/>
      <w:szCs w:val="24"/>
    </w:rPr>
  </w:style>
  <w:style w:type="character" w:styleId="675" w:customStyle="1">
    <w:name w:val="Заголовок 6 Знак"/>
    <w:basedOn w:val="652"/>
    <w:link w:val="648"/>
    <w:uiPriority w:val="9"/>
    <w:rPr>
      <w:rFonts w:ascii="Arial" w:hAnsi="Arial" w:eastAsia="Arial" w:cs="Arial"/>
      <w:b/>
      <w:bCs/>
      <w:sz w:val="22"/>
      <w:szCs w:val="22"/>
    </w:rPr>
  </w:style>
  <w:style w:type="character" w:styleId="676" w:customStyle="1">
    <w:name w:val="Заголовок 7 Знак"/>
    <w:basedOn w:val="652"/>
    <w:link w:val="64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7" w:customStyle="1">
    <w:name w:val="Заголовок 8 Знак"/>
    <w:basedOn w:val="652"/>
    <w:link w:val="650"/>
    <w:uiPriority w:val="9"/>
    <w:rPr>
      <w:rFonts w:ascii="Arial" w:hAnsi="Arial" w:eastAsia="Arial" w:cs="Arial"/>
      <w:i/>
      <w:iCs/>
      <w:sz w:val="22"/>
      <w:szCs w:val="22"/>
    </w:rPr>
  </w:style>
  <w:style w:type="character" w:styleId="678" w:customStyle="1">
    <w:name w:val="Заголовок 9 Знак"/>
    <w:basedOn w:val="652"/>
    <w:link w:val="651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No Spacing"/>
    <w:uiPriority w:val="1"/>
    <w:qFormat/>
    <w:pPr>
      <w:spacing w:after="0" w:line="240" w:lineRule="auto"/>
    </w:pPr>
  </w:style>
  <w:style w:type="paragraph" w:styleId="680">
    <w:name w:val="Title"/>
    <w:basedOn w:val="642"/>
    <w:next w:val="642"/>
    <w:link w:val="681"/>
    <w:uiPriority w:val="10"/>
    <w:qFormat/>
    <w:pPr>
      <w:contextualSpacing/>
      <w:spacing w:before="300"/>
    </w:pPr>
    <w:rPr>
      <w:sz w:val="48"/>
      <w:szCs w:val="48"/>
    </w:rPr>
  </w:style>
  <w:style w:type="character" w:styleId="681" w:customStyle="1">
    <w:name w:val="Заголовок Знак"/>
    <w:basedOn w:val="652"/>
    <w:link w:val="680"/>
    <w:uiPriority w:val="10"/>
    <w:rPr>
      <w:sz w:val="48"/>
      <w:szCs w:val="48"/>
    </w:rPr>
  </w:style>
  <w:style w:type="paragraph" w:styleId="682">
    <w:name w:val="Subtitle"/>
    <w:basedOn w:val="642"/>
    <w:next w:val="642"/>
    <w:link w:val="683"/>
    <w:uiPriority w:val="11"/>
    <w:qFormat/>
    <w:pPr>
      <w:spacing w:before="200"/>
    </w:pPr>
    <w:rPr>
      <w:sz w:val="24"/>
      <w:szCs w:val="24"/>
    </w:rPr>
  </w:style>
  <w:style w:type="character" w:styleId="683" w:customStyle="1">
    <w:name w:val="Подзаголовок Знак"/>
    <w:basedOn w:val="652"/>
    <w:link w:val="682"/>
    <w:uiPriority w:val="11"/>
    <w:rPr>
      <w:sz w:val="24"/>
      <w:szCs w:val="24"/>
    </w:rPr>
  </w:style>
  <w:style w:type="paragraph" w:styleId="684">
    <w:name w:val="Quote"/>
    <w:basedOn w:val="642"/>
    <w:next w:val="642"/>
    <w:link w:val="685"/>
    <w:uiPriority w:val="29"/>
    <w:qFormat/>
    <w:pPr>
      <w:ind w:left="720" w:right="720"/>
    </w:pPr>
    <w:rPr>
      <w:i/>
    </w:rPr>
  </w:style>
  <w:style w:type="character" w:styleId="685" w:customStyle="1">
    <w:name w:val="Цитата 2 Знак"/>
    <w:link w:val="684"/>
    <w:uiPriority w:val="29"/>
    <w:rPr>
      <w:i/>
    </w:rPr>
  </w:style>
  <w:style w:type="paragraph" w:styleId="686">
    <w:name w:val="Intense Quote"/>
    <w:basedOn w:val="642"/>
    <w:next w:val="642"/>
    <w:link w:val="68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 w:customStyle="1">
    <w:name w:val="Выделенная цитата Знак"/>
    <w:link w:val="686"/>
    <w:uiPriority w:val="30"/>
    <w:rPr>
      <w:i/>
    </w:rPr>
  </w:style>
  <w:style w:type="character" w:styleId="688" w:customStyle="1">
    <w:name w:val="Header Char"/>
    <w:basedOn w:val="652"/>
    <w:uiPriority w:val="99"/>
  </w:style>
  <w:style w:type="character" w:styleId="689" w:customStyle="1">
    <w:name w:val="Footer Char"/>
    <w:basedOn w:val="652"/>
    <w:uiPriority w:val="99"/>
  </w:style>
  <w:style w:type="paragraph" w:styleId="690">
    <w:name w:val="Caption"/>
    <w:basedOn w:val="642"/>
    <w:next w:val="642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1" w:customStyle="1">
    <w:name w:val="Caption Char"/>
    <w:uiPriority w:val="99"/>
  </w:style>
  <w:style w:type="table" w:styleId="692">
    <w:name w:val="Table Grid"/>
    <w:basedOn w:val="65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3" w:customStyle="1">
    <w:name w:val="Table Grid Light"/>
    <w:basedOn w:val="65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4">
    <w:name w:val="Plain Table 1"/>
    <w:basedOn w:val="65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65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 w:customStyle="1">
    <w:name w:val="Grid Table 4 - Accent 1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2" w:customStyle="1">
    <w:name w:val="Grid Table 4 - Accent 2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3" w:customStyle="1">
    <w:name w:val="Grid Table 4 - Accent 3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4" w:customStyle="1">
    <w:name w:val="Grid Table 4 - Accent 4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5" w:customStyle="1">
    <w:name w:val="Grid Table 4 - Accent 5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6" w:customStyle="1">
    <w:name w:val="Grid Table 4 - Accent 6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7">
    <w:name w:val="Grid Table 5 Dark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4">
    <w:name w:val="Grid Table 6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5" w:customStyle="1">
    <w:name w:val="Grid Table 6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6" w:customStyle="1">
    <w:name w:val="Grid Table 6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7" w:customStyle="1">
    <w:name w:val="Grid Table 6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8" w:customStyle="1">
    <w:name w:val="Grid Table 6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9" w:customStyle="1">
    <w:name w:val="Grid Table 6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0" w:customStyle="1">
    <w:name w:val="Grid Table 6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>
    <w:name w:val="Grid Table 7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Grid Table 7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 w:customStyle="1">
    <w:name w:val="Grid Table 7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>
    <w:name w:val="List Table 1 Light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1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2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3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4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5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6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>
    <w:name w:val="List Table 6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4" w:customStyle="1">
    <w:name w:val="List Table 6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5" w:customStyle="1">
    <w:name w:val="List Table 6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6" w:customStyle="1">
    <w:name w:val="List Table 6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7" w:customStyle="1">
    <w:name w:val="List Table 6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8" w:customStyle="1">
    <w:name w:val="List Table 6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9" w:customStyle="1">
    <w:name w:val="List Table 6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0">
    <w:name w:val="List Table 7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st Table 7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7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ned - Accent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8" w:customStyle="1">
    <w:name w:val="Lined - Accent 1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9" w:customStyle="1">
    <w:name w:val="Lined - Accent 2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0" w:customStyle="1">
    <w:name w:val="Lined - Accent 3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1" w:customStyle="1">
    <w:name w:val="Lined - Accent 4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2" w:customStyle="1">
    <w:name w:val="Lined - Accent 5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3" w:customStyle="1">
    <w:name w:val="Lined - Accent 6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4" w:customStyle="1">
    <w:name w:val="Bordered &amp; Lined - Accent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Bordered &amp; Lined - Accent 1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6" w:customStyle="1">
    <w:name w:val="Bordered &amp; Lined - Accent 2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7" w:customStyle="1">
    <w:name w:val="Bordered &amp; Lined - Accent 3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8" w:customStyle="1">
    <w:name w:val="Bordered &amp; Lined - Accent 4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9" w:customStyle="1">
    <w:name w:val="Bordered &amp; Lined - Accent 5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0" w:customStyle="1">
    <w:name w:val="Bordered &amp; Lined - Accent 6"/>
    <w:basedOn w:val="6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1" w:customStyle="1">
    <w:name w:val="Bordered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2" w:customStyle="1">
    <w:name w:val="Bordered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3" w:customStyle="1">
    <w:name w:val="Bordered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4" w:customStyle="1">
    <w:name w:val="Bordered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5" w:customStyle="1">
    <w:name w:val="Bordered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6" w:customStyle="1">
    <w:name w:val="Bordered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7" w:customStyle="1">
    <w:name w:val="Bordered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18">
    <w:name w:val="footnote text"/>
    <w:basedOn w:val="642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 w:customStyle="1">
    <w:name w:val="Текст сноски Знак"/>
    <w:link w:val="818"/>
    <w:uiPriority w:val="99"/>
    <w:rPr>
      <w:sz w:val="18"/>
    </w:rPr>
  </w:style>
  <w:style w:type="character" w:styleId="820">
    <w:name w:val="footnote reference"/>
    <w:basedOn w:val="652"/>
    <w:uiPriority w:val="99"/>
    <w:unhideWhenUsed/>
    <w:rPr>
      <w:vertAlign w:val="superscript"/>
    </w:rPr>
  </w:style>
  <w:style w:type="paragraph" w:styleId="821">
    <w:name w:val="endnote text"/>
    <w:basedOn w:val="642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 w:customStyle="1">
    <w:name w:val="Текст концевой сноски Знак"/>
    <w:link w:val="821"/>
    <w:uiPriority w:val="99"/>
    <w:rPr>
      <w:sz w:val="20"/>
    </w:rPr>
  </w:style>
  <w:style w:type="character" w:styleId="823">
    <w:name w:val="endnote reference"/>
    <w:basedOn w:val="652"/>
    <w:uiPriority w:val="99"/>
    <w:semiHidden/>
    <w:unhideWhenUsed/>
    <w:rPr>
      <w:vertAlign w:val="superscript"/>
    </w:rPr>
  </w:style>
  <w:style w:type="paragraph" w:styleId="824">
    <w:name w:val="toc 1"/>
    <w:basedOn w:val="642"/>
    <w:next w:val="642"/>
    <w:uiPriority w:val="39"/>
    <w:unhideWhenUsed/>
    <w:pPr>
      <w:spacing w:after="57"/>
    </w:pPr>
  </w:style>
  <w:style w:type="paragraph" w:styleId="825">
    <w:name w:val="toc 2"/>
    <w:basedOn w:val="642"/>
    <w:next w:val="642"/>
    <w:uiPriority w:val="39"/>
    <w:unhideWhenUsed/>
    <w:pPr>
      <w:ind w:left="283"/>
      <w:spacing w:after="57"/>
    </w:pPr>
  </w:style>
  <w:style w:type="paragraph" w:styleId="826">
    <w:name w:val="toc 3"/>
    <w:basedOn w:val="642"/>
    <w:next w:val="642"/>
    <w:uiPriority w:val="39"/>
    <w:unhideWhenUsed/>
    <w:pPr>
      <w:ind w:left="567"/>
      <w:spacing w:after="57"/>
    </w:pPr>
  </w:style>
  <w:style w:type="paragraph" w:styleId="827">
    <w:name w:val="toc 4"/>
    <w:basedOn w:val="642"/>
    <w:next w:val="642"/>
    <w:uiPriority w:val="39"/>
    <w:unhideWhenUsed/>
    <w:pPr>
      <w:ind w:left="850"/>
      <w:spacing w:after="57"/>
    </w:pPr>
  </w:style>
  <w:style w:type="paragraph" w:styleId="828">
    <w:name w:val="toc 5"/>
    <w:basedOn w:val="642"/>
    <w:next w:val="642"/>
    <w:uiPriority w:val="39"/>
    <w:unhideWhenUsed/>
    <w:pPr>
      <w:ind w:left="1134"/>
      <w:spacing w:after="57"/>
    </w:pPr>
  </w:style>
  <w:style w:type="paragraph" w:styleId="829">
    <w:name w:val="toc 6"/>
    <w:basedOn w:val="642"/>
    <w:next w:val="642"/>
    <w:uiPriority w:val="39"/>
    <w:unhideWhenUsed/>
    <w:pPr>
      <w:ind w:left="1417"/>
      <w:spacing w:after="57"/>
    </w:pPr>
  </w:style>
  <w:style w:type="paragraph" w:styleId="830">
    <w:name w:val="toc 7"/>
    <w:basedOn w:val="642"/>
    <w:next w:val="642"/>
    <w:uiPriority w:val="39"/>
    <w:unhideWhenUsed/>
    <w:pPr>
      <w:ind w:left="1701"/>
      <w:spacing w:after="57"/>
    </w:pPr>
  </w:style>
  <w:style w:type="paragraph" w:styleId="831">
    <w:name w:val="toc 8"/>
    <w:basedOn w:val="642"/>
    <w:next w:val="642"/>
    <w:uiPriority w:val="39"/>
    <w:unhideWhenUsed/>
    <w:pPr>
      <w:ind w:left="1984"/>
      <w:spacing w:after="57"/>
    </w:pPr>
  </w:style>
  <w:style w:type="paragraph" w:styleId="832">
    <w:name w:val="toc 9"/>
    <w:basedOn w:val="642"/>
    <w:next w:val="642"/>
    <w:uiPriority w:val="39"/>
    <w:unhideWhenUsed/>
    <w:pPr>
      <w:ind w:left="2268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642"/>
    <w:next w:val="642"/>
    <w:uiPriority w:val="99"/>
    <w:unhideWhenUsed/>
    <w:pPr>
      <w:spacing w:after="0"/>
    </w:pPr>
  </w:style>
  <w:style w:type="paragraph" w:styleId="835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36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37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838" w:customStyle="1">
    <w:name w:val="ConsPlusCell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39" w:customStyle="1">
    <w:name w:val="ConsPlusDocList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40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paragraph" w:styleId="841" w:customStyle="1">
    <w:name w:val="ConsPlusJurTerm"/>
    <w:pPr>
      <w:spacing w:after="0" w:line="240" w:lineRule="auto"/>
      <w:widowControl w:val="off"/>
    </w:pPr>
    <w:rPr>
      <w:rFonts w:ascii="Tahoma" w:hAnsi="Tahoma" w:eastAsia="Times New Roman" w:cs="Tahoma"/>
      <w:sz w:val="26"/>
      <w:szCs w:val="20"/>
      <w:lang w:eastAsia="ru-RU"/>
    </w:rPr>
  </w:style>
  <w:style w:type="paragraph" w:styleId="842" w:customStyle="1">
    <w:name w:val="ConsPlusTextList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43" w:customStyle="1">
    <w:name w:val="Знак"/>
    <w:basedOn w:val="642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styleId="844">
    <w:name w:val="Hyperlink"/>
    <w:basedOn w:val="652"/>
    <w:uiPriority w:val="99"/>
    <w:unhideWhenUsed/>
    <w:rPr>
      <w:color w:val="0000ff" w:themeColor="hyperlink"/>
      <w:u w:val="single"/>
    </w:rPr>
  </w:style>
  <w:style w:type="paragraph" w:styleId="845" w:customStyle="1">
    <w:name w:val="Знак"/>
    <w:basedOn w:val="642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846">
    <w:name w:val="Normal (Web)"/>
    <w:basedOn w:val="642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7">
    <w:name w:val="List Paragraph"/>
    <w:basedOn w:val="642"/>
    <w:qFormat/>
    <w:pPr>
      <w:contextualSpacing/>
      <w:ind w:left="720"/>
    </w:pPr>
  </w:style>
  <w:style w:type="paragraph" w:styleId="848">
    <w:name w:val="Header"/>
    <w:basedOn w:val="642"/>
    <w:link w:val="84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9" w:customStyle="1">
    <w:name w:val="Верхний колонтитул Знак"/>
    <w:basedOn w:val="652"/>
    <w:link w:val="848"/>
    <w:uiPriority w:val="99"/>
  </w:style>
  <w:style w:type="paragraph" w:styleId="850">
    <w:name w:val="Footer"/>
    <w:basedOn w:val="642"/>
    <w:link w:val="85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1" w:customStyle="1">
    <w:name w:val="Нижний колонтитул Знак"/>
    <w:basedOn w:val="652"/>
    <w:link w:val="850"/>
    <w:uiPriority w:val="99"/>
  </w:style>
  <w:style w:type="paragraph" w:styleId="852" w:customStyle="1">
    <w:name w:val="Знак"/>
    <w:basedOn w:val="642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styleId="853">
    <w:name w:val="Unresolved Mention"/>
    <w:basedOn w:val="652"/>
    <w:uiPriority w:val="99"/>
    <w:semiHidden/>
    <w:unhideWhenUsed/>
    <w:rPr>
      <w:color w:val="605e5c"/>
      <w:shd w:val="clear" w:color="auto" w:fill="e1dfdd"/>
    </w:rPr>
  </w:style>
  <w:style w:type="paragraph" w:styleId="854" w:customStyle="1">
    <w:name w:val="Основной текст 31"/>
    <w:basedOn w:val="70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 w:color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shevchenko_ns@bel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1A3CF-C539-4313-9971-34B0942B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Сорочинская И. Л.</dc:creator>
  <cp:revision>28</cp:revision>
  <dcterms:created xsi:type="dcterms:W3CDTF">2026-03-30T07:02:00Z</dcterms:created>
  <dcterms:modified xsi:type="dcterms:W3CDTF">2026-08-13T15:09:20Z</dcterms:modified>
</cp:coreProperties>
</file>