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6"/>
              </w:rPr>
              <w:t xml:space="preserve">Постановление Правительства Белгородской обл. от 26.12.2022 N 805-пп</w:t>
              <w:br/>
              <w:t xml:space="preserve">(ред. от 29.05.2023)</w:t>
              <w:br/>
              <w:t xml:space="preserve">"Об утверждении порядка предоставления иных межбюджетных трансфертов из федерального бюджета и средств областного бюджета на реализацию регионального проекта, обеспечивающего достижение целей, показателей и результатов федерального проекта "Содействие занятости" национального проекта "Демография" по реализации дополнительных мероприятий, направленных на снижение напряженности на рынке труда Белгородской области, по финансовому обеспечению (возмещению)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БЕЛГОРОДСКОЙ ОБЛАСТИ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26 декабря 2022 г. N 805-пп</w:t>
      </w:r>
    </w:p>
    <w:p>
      <w:pPr>
        <w:pStyle w:val="2"/>
        <w:jc w:val="both"/>
      </w:pPr>
      <w:r>
        <w:rPr>
          <w:sz w:val="24"/>
        </w:rPr>
      </w:r>
    </w:p>
    <w:p>
      <w:pPr>
        <w:pStyle w:val="2"/>
        <w:jc w:val="center"/>
      </w:pPr>
      <w:r>
        <w:rPr>
          <w:sz w:val="24"/>
        </w:rPr>
        <w:t xml:space="preserve">ОБ УТВЕРЖДЕНИИ ПОРЯДКА ПРЕДОСТАВЛЕНИЯ ИНЫХ МЕЖБЮДЖЕТНЫХ</w:t>
      </w:r>
    </w:p>
    <w:p>
      <w:pPr>
        <w:pStyle w:val="2"/>
        <w:jc w:val="center"/>
      </w:pPr>
      <w:r>
        <w:rPr>
          <w:sz w:val="24"/>
        </w:rPr>
        <w:t xml:space="preserve">ТРАНСФЕРТОВ ИЗ ФЕДЕРАЛЬНОГО БЮДЖЕТА И СРЕДСТВ ОБЛАСТНОГО</w:t>
      </w:r>
    </w:p>
    <w:p>
      <w:pPr>
        <w:pStyle w:val="2"/>
        <w:jc w:val="center"/>
      </w:pPr>
      <w:r>
        <w:rPr>
          <w:sz w:val="24"/>
        </w:rPr>
        <w:t xml:space="preserve">БЮДЖЕТА НА РЕАЛИЗАЦИЮ РЕГИОНАЛЬНОГО ПРОЕКТА, ОБЕСПЕЧИВАЮЩЕГО</w:t>
      </w:r>
    </w:p>
    <w:p>
      <w:pPr>
        <w:pStyle w:val="2"/>
        <w:jc w:val="center"/>
      </w:pPr>
      <w:r>
        <w:rPr>
          <w:sz w:val="24"/>
        </w:rPr>
        <w:t xml:space="preserve">ДОСТИЖЕНИЕ ЦЕЛЕЙ, ПОКАЗАТЕЛЕЙ И РЕЗУЛЬТАТОВ ФЕДЕРАЛЬНОГО</w:t>
      </w:r>
    </w:p>
    <w:p>
      <w:pPr>
        <w:pStyle w:val="2"/>
        <w:jc w:val="center"/>
      </w:pPr>
      <w:r>
        <w:rPr>
          <w:sz w:val="24"/>
        </w:rPr>
        <w:t xml:space="preserve">ПРОЕКТА "СОДЕЙСТВИЕ ЗАНЯТОСТИ" НАЦИОНАЛЬНОГО ПРОЕКТА</w:t>
      </w:r>
    </w:p>
    <w:p>
      <w:pPr>
        <w:pStyle w:val="2"/>
        <w:jc w:val="center"/>
      </w:pPr>
      <w:r>
        <w:rPr>
          <w:sz w:val="24"/>
        </w:rPr>
        <w:t xml:space="preserve">"ДЕМОГРАФИЯ" ПО РЕАЛИЗАЦИИ ДОПОЛНИТЕЛЬНЫХ МЕРОПРИЯТИЙ,</w:t>
      </w:r>
    </w:p>
    <w:p>
      <w:pPr>
        <w:pStyle w:val="2"/>
        <w:jc w:val="center"/>
      </w:pPr>
      <w:r>
        <w:rPr>
          <w:sz w:val="24"/>
        </w:rPr>
        <w:t xml:space="preserve">НАПРАВЛЕННЫХ НА СНИЖЕНИЕ НАПРЯЖЕННОСТИ НА РЫНКЕ ТРУДА</w:t>
      </w:r>
    </w:p>
    <w:p>
      <w:pPr>
        <w:pStyle w:val="2"/>
        <w:jc w:val="center"/>
      </w:pPr>
      <w:r>
        <w:rPr>
          <w:sz w:val="24"/>
        </w:rPr>
        <w:t xml:space="preserve">БЕЛГОРОДСКОЙ ОБЛАСТИ, ПО ФИНАНСОВОМУ ОБЕСПЕЧЕНИЮ</w:t>
      </w:r>
    </w:p>
    <w:p>
      <w:pPr>
        <w:pStyle w:val="2"/>
        <w:jc w:val="center"/>
      </w:pPr>
      <w:r>
        <w:rPr>
          <w:sz w:val="24"/>
        </w:rPr>
        <w:t xml:space="preserve">(ВОЗМЕЩЕНИЮ) ЗАТРАТ РАБОТОДАТЕЛЕЙ НА ОРГАНИЗАЦИЮ</w:t>
      </w:r>
    </w:p>
    <w:p>
      <w:pPr>
        <w:pStyle w:val="2"/>
        <w:jc w:val="center"/>
      </w:pPr>
      <w:r>
        <w:rPr>
          <w:sz w:val="24"/>
        </w:rPr>
        <w:t xml:space="preserve">ПРОФЕССИОНАЛЬНОГО ОБУЧЕНИЯ И ДОПОЛНИТЕЛЬНОГО</w:t>
      </w:r>
    </w:p>
    <w:p>
      <w:pPr>
        <w:pStyle w:val="2"/>
        <w:jc w:val="center"/>
      </w:pPr>
      <w:r>
        <w:rPr>
          <w:sz w:val="24"/>
        </w:rPr>
        <w:t xml:space="preserve">ПРОФЕССИОНАЛЬНОГО ОБРАЗОВАНИЯ РАБОТНИКОВ ПРЕДПРИЯТИЙ</w:t>
      </w:r>
    </w:p>
    <w:p>
      <w:pPr>
        <w:pStyle w:val="2"/>
        <w:jc w:val="center"/>
      </w:pPr>
      <w:r>
        <w:rPr>
          <w:sz w:val="24"/>
        </w:rPr>
        <w:t xml:space="preserve">ОБОРОННО-ПРОМЫШЛЕННОГО КОМПЛЕКСА, А ТАКЖЕ ГРАЖДАН,</w:t>
      </w:r>
    </w:p>
    <w:p>
      <w:pPr>
        <w:pStyle w:val="2"/>
        <w:jc w:val="center"/>
      </w:pPr>
      <w:r>
        <w:rPr>
          <w:sz w:val="24"/>
        </w:rPr>
        <w:t xml:space="preserve">ОБРАТИВШИХСЯ В ОРГАНЫ СЛУЖБЫ ЗАНЯТОСТИ ЗА СОДЕЙСТВИЕМ</w:t>
      </w:r>
    </w:p>
    <w:p>
      <w:pPr>
        <w:pStyle w:val="2"/>
        <w:jc w:val="center"/>
      </w:pPr>
      <w:r>
        <w:rPr>
          <w:sz w:val="24"/>
        </w:rPr>
        <w:t xml:space="preserve">В ПОИСКЕ ПОДХОДЯЩЕЙ РАБОТЫ И ЗАКЛЮЧИВШИХ УЧЕНИЧЕСКИЙ ДОГОВОР</w:t>
      </w:r>
    </w:p>
    <w:p>
      <w:pPr>
        <w:pStyle w:val="2"/>
        <w:jc w:val="center"/>
      </w:pPr>
      <w:r>
        <w:rPr>
          <w:sz w:val="24"/>
        </w:rPr>
        <w:t xml:space="preserve">С ПРЕДПРИЯТИЯМИ ОБОРОННО-ПРОМЫШЛЕННОГО КОМПЛЕКСА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8"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color w:val="392c69"/>
              </w:rPr>
              <w:t xml:space="preserve"> Правительства Белгородской области</w:t>
            </w:r>
          </w:p>
          <w:p>
            <w:pPr>
              <w:pStyle w:val="0"/>
              <w:jc w:val="center"/>
            </w:pPr>
            <w:r>
              <w:rPr>
                <w:sz w:val="24"/>
                <w:color w:val="392c69"/>
              </w:rPr>
              <w:t xml:space="preserve">от 29.05.2023 N 295-пп)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hyperlink w:history="0" r:id="rId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статьей 78</w:t>
        </w:r>
      </w:hyperlink>
      <w:r>
        <w:rPr>
          <w:sz w:val="24"/>
        </w:rPr>
        <w:t xml:space="preserve"> Бюджетного кодекса Российской Федерации, Постановлениями Правительства Российской Федерации от 18 сентября 2020 года </w:t>
      </w:r>
      <w:hyperlink w:history="0" r:id="rId10" w:tooltip="Постановление Правительства РФ от 18.09.2020 N 1492 (ред. от 22.12.2022) &quot;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с изм.  ------------ Утратил силу или отменен {КонсультантПлюс}">
        <w:r>
          <w:rPr>
            <w:sz w:val="24"/>
            <w:color w:val="0000ff"/>
          </w:rPr>
          <w:t xml:space="preserve">N 1492</w:t>
        </w:r>
      </w:hyperlink>
      <w:r>
        <w:rPr>
          <w:sz w:val="24"/>
        </w:rPr>
        <w:t xml:space="preserve">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от 15 декабря 2022 года </w:t>
      </w:r>
      <w:hyperlink w:history="0" r:id="rId11" w:tooltip="Постановление Правительства РФ от 15.12.2022 N 2309 (ред. от 14.03.2023) &quot;О реализации в 2023 году отдельных мероприятий, направленных на снижение напряженности на рынке труда&quot; (вместе с &quot;Правилами предоставления и распределения в 2023 году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КонсультантПлюс}">
        <w:r>
          <w:rPr>
            <w:sz w:val="24"/>
            <w:color w:val="0000ff"/>
          </w:rPr>
          <w:t xml:space="preserve">N 2309</w:t>
        </w:r>
      </w:hyperlink>
      <w:r>
        <w:rPr>
          <w:sz w:val="24"/>
        </w:rPr>
        <w:t xml:space="preserve"> "О реализации в 2023 году отдельных мероприятий, направленных на снижение напряженности на рынке труда" Правительство Белгородской области постановляет:</w:t>
      </w:r>
    </w:p>
    <w:p>
      <w:pPr>
        <w:pStyle w:val="0"/>
        <w:jc w:val="both"/>
      </w:pPr>
      <w:r>
        <w:rPr>
          <w:sz w:val="24"/>
        </w:rPr>
      </w:r>
    </w:p>
    <w:p>
      <w:pPr>
        <w:pStyle w:val="0"/>
        <w:ind w:firstLine="540"/>
        <w:jc w:val="both"/>
      </w:pPr>
      <w:r>
        <w:rPr>
          <w:sz w:val="24"/>
        </w:rPr>
        <w:t xml:space="preserve">1. Утвердить </w:t>
      </w:r>
      <w:hyperlink w:history="0" w:anchor="P48" w:tooltip="ПОРЯДОК">
        <w:r>
          <w:rPr>
            <w:sz w:val="24"/>
            <w:color w:val="0000ff"/>
          </w:rPr>
          <w:t xml:space="preserve">порядок</w:t>
        </w:r>
      </w:hyperlink>
      <w:r>
        <w:rPr>
          <w:sz w:val="24"/>
        </w:rPr>
        <w:t xml:space="preserve"> предоставления иных межбюджетных трансфертов из федерального бюджета и средств областного бюджета на реализацию регионального проекта, обеспечивающего достижение целей, показателей и результатов федерального проекта "Содействие занятости" национального проекта "Демография" по реализации дополнительных мероприятий, направленных на снижение напряженности на рынке труда Белгородской области, по финансовому обеспечению (возмещению)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(прилагается).</w:t>
      </w:r>
    </w:p>
    <w:p>
      <w:pPr>
        <w:pStyle w:val="0"/>
        <w:jc w:val="both"/>
      </w:pPr>
      <w:r>
        <w:rPr>
          <w:sz w:val="24"/>
        </w:rPr>
        <w:t xml:space="preserve">(в ред. </w:t>
      </w:r>
      <w:hyperlink w:history="0" r:id="rId12"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jc w:val="both"/>
      </w:pPr>
      <w:r>
        <w:rPr>
          <w:sz w:val="24"/>
        </w:rPr>
      </w:r>
    </w:p>
    <w:p>
      <w:pPr>
        <w:pStyle w:val="0"/>
        <w:ind w:firstLine="540"/>
        <w:jc w:val="both"/>
      </w:pPr>
      <w:r>
        <w:rPr>
          <w:sz w:val="24"/>
        </w:rPr>
        <w:t xml:space="preserve">2. Контроль за исполнением настоящего постановления возложить на заместителя Губернатора Белгородской области - министра образования Белгородской области Милехина А.В.</w:t>
      </w:r>
    </w:p>
    <w:p>
      <w:pPr>
        <w:pStyle w:val="0"/>
        <w:jc w:val="both"/>
      </w:pPr>
      <w:r>
        <w:rPr>
          <w:sz w:val="24"/>
        </w:rPr>
      </w:r>
    </w:p>
    <w:p>
      <w:pPr>
        <w:pStyle w:val="0"/>
        <w:ind w:left="540"/>
        <w:jc w:val="both"/>
      </w:pPr>
      <w:r>
        <w:rPr>
          <w:sz w:val="24"/>
        </w:rPr>
        <w:t xml:space="preserve">3. Настоящее постановление вступает в силу с 1 января 2023 года.</w:t>
      </w:r>
    </w:p>
    <w:p>
      <w:pPr>
        <w:pStyle w:val="0"/>
        <w:jc w:val="both"/>
      </w:pPr>
      <w:r>
        <w:rPr>
          <w:sz w:val="24"/>
        </w:rPr>
      </w:r>
    </w:p>
    <w:p>
      <w:pPr>
        <w:pStyle w:val="0"/>
        <w:jc w:val="right"/>
      </w:pPr>
      <w:r>
        <w:rPr>
          <w:sz w:val="24"/>
        </w:rPr>
        <w:t xml:space="preserve">Губернатор Белгородской области</w:t>
      </w:r>
    </w:p>
    <w:p>
      <w:pPr>
        <w:pStyle w:val="0"/>
        <w:jc w:val="right"/>
      </w:pPr>
      <w:r>
        <w:rPr>
          <w:sz w:val="24"/>
        </w:rPr>
        <w:t xml:space="preserve">В.В.ГЛАДКОВ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Правительства Белгородской области</w:t>
      </w:r>
    </w:p>
    <w:p>
      <w:pPr>
        <w:pStyle w:val="0"/>
        <w:jc w:val="right"/>
      </w:pPr>
      <w:r>
        <w:rPr>
          <w:sz w:val="24"/>
        </w:rPr>
        <w:t xml:space="preserve">от 26 декабря 2022 г. N 805-пп</w:t>
      </w:r>
    </w:p>
    <w:p>
      <w:pPr>
        <w:pStyle w:val="0"/>
        <w:jc w:val="both"/>
      </w:pPr>
      <w:r>
        <w:rPr>
          <w:sz w:val="24"/>
        </w:rPr>
      </w:r>
    </w:p>
    <w:bookmarkStart w:id="48" w:name="P48"/>
    <w:bookmarkEnd w:id="48"/>
    <w:p>
      <w:pPr>
        <w:pStyle w:val="2"/>
        <w:jc w:val="center"/>
      </w:pPr>
      <w:r>
        <w:rPr>
          <w:sz w:val="24"/>
        </w:rPr>
        <w:t xml:space="preserve">ПОРЯДОК</w:t>
      </w:r>
    </w:p>
    <w:p>
      <w:pPr>
        <w:pStyle w:val="2"/>
        <w:jc w:val="center"/>
      </w:pPr>
      <w:r>
        <w:rPr>
          <w:sz w:val="24"/>
        </w:rPr>
        <w:t xml:space="preserve">ПРЕДОСТАВЛЕНИЯ ИНЫХ МЕЖБЮДЖЕТНЫХ ТРАНСФЕРТОВ ИЗ ФЕДЕРАЛЬНОГО</w:t>
      </w:r>
    </w:p>
    <w:p>
      <w:pPr>
        <w:pStyle w:val="2"/>
        <w:jc w:val="center"/>
      </w:pPr>
      <w:r>
        <w:rPr>
          <w:sz w:val="24"/>
        </w:rPr>
        <w:t xml:space="preserve">БЮДЖЕТА И СРЕДСТВ ОБЛАСТНОГО БЮДЖЕТА НА РЕАЛИЗАЦИЮ</w:t>
      </w:r>
    </w:p>
    <w:p>
      <w:pPr>
        <w:pStyle w:val="2"/>
        <w:jc w:val="center"/>
      </w:pPr>
      <w:r>
        <w:rPr>
          <w:sz w:val="24"/>
        </w:rPr>
        <w:t xml:space="preserve">РЕГИОНАЛЬНОГО ПРОЕКТА, ОБЕСПЕЧИВАЮЩЕГО ДОСТИЖЕНИЕ ЦЕЛЕЙ,</w:t>
      </w:r>
    </w:p>
    <w:p>
      <w:pPr>
        <w:pStyle w:val="2"/>
        <w:jc w:val="center"/>
      </w:pPr>
      <w:r>
        <w:rPr>
          <w:sz w:val="24"/>
        </w:rPr>
        <w:t xml:space="preserve">ПОКАЗАТЕЛЕЙ И РЕЗУЛЬТАТОВ ФЕДЕРАЛЬНОГО ПРОЕКТА "СОДЕЙСТВИЕ</w:t>
      </w:r>
    </w:p>
    <w:p>
      <w:pPr>
        <w:pStyle w:val="2"/>
        <w:jc w:val="center"/>
      </w:pPr>
      <w:r>
        <w:rPr>
          <w:sz w:val="24"/>
        </w:rPr>
        <w:t xml:space="preserve">ЗАНЯТОСТИ" НАЦИОНАЛЬНОГО ПРОЕКТА "ДЕМОГРАФИЯ" ПО РЕАЛИЗАЦИИ</w:t>
      </w:r>
    </w:p>
    <w:p>
      <w:pPr>
        <w:pStyle w:val="2"/>
        <w:jc w:val="center"/>
      </w:pPr>
      <w:r>
        <w:rPr>
          <w:sz w:val="24"/>
        </w:rPr>
        <w:t xml:space="preserve">ДОПОЛНИТЕЛЬНЫХ МЕРОПРИЯТИЙ, НАПРАВЛЕННЫХ НА СНИЖЕНИЕ</w:t>
      </w:r>
    </w:p>
    <w:p>
      <w:pPr>
        <w:pStyle w:val="2"/>
        <w:jc w:val="center"/>
      </w:pPr>
      <w:r>
        <w:rPr>
          <w:sz w:val="24"/>
        </w:rPr>
        <w:t xml:space="preserve">НАПРЯЖЕННОСТИ НА РЫНКЕ ТРУДА БЕЛГОРОДСКОЙ ОБЛАСТИ,</w:t>
      </w:r>
    </w:p>
    <w:p>
      <w:pPr>
        <w:pStyle w:val="2"/>
        <w:jc w:val="center"/>
      </w:pPr>
      <w:r>
        <w:rPr>
          <w:sz w:val="24"/>
        </w:rPr>
        <w:t xml:space="preserve">ПО ФИНАНСОВОМУ ОБЕСПЕЧЕНИЮ (ВОЗМЕЩЕНИЮ) ЗАТРАТ РАБОТОДАТЕЛЕЙ</w:t>
      </w:r>
    </w:p>
    <w:p>
      <w:pPr>
        <w:pStyle w:val="2"/>
        <w:jc w:val="center"/>
      </w:pPr>
      <w:r>
        <w:rPr>
          <w:sz w:val="24"/>
        </w:rPr>
        <w:t xml:space="preserve">НА ОРГАНИЗАЦИЮ ПРОФЕССИОНАЛЬНОГО ОБУЧЕНИЯ И ДОПОЛНИТЕЛЬНОГО</w:t>
      </w:r>
    </w:p>
    <w:p>
      <w:pPr>
        <w:pStyle w:val="2"/>
        <w:jc w:val="center"/>
      </w:pPr>
      <w:r>
        <w:rPr>
          <w:sz w:val="24"/>
        </w:rPr>
        <w:t xml:space="preserve">ПРОФЕССИОНАЛЬНОГО ОБРАЗОВАНИЯ РАБОТНИКОВ ПРЕДПРИЯТИЙ</w:t>
      </w:r>
    </w:p>
    <w:p>
      <w:pPr>
        <w:pStyle w:val="2"/>
        <w:jc w:val="center"/>
      </w:pPr>
      <w:r>
        <w:rPr>
          <w:sz w:val="24"/>
        </w:rPr>
        <w:t xml:space="preserve">ОБОРОННО-ПРОМЫШЛЕННОГО КОМПЛЕКСА, А ТАКЖЕ ГРАЖДАН,</w:t>
      </w:r>
    </w:p>
    <w:p>
      <w:pPr>
        <w:pStyle w:val="2"/>
        <w:jc w:val="center"/>
      </w:pPr>
      <w:r>
        <w:rPr>
          <w:sz w:val="24"/>
        </w:rPr>
        <w:t xml:space="preserve">ОБРАТИВШИХСЯ В ОРГАНЫ СЛУЖБЫ ЗАНЯТОСТИ ЗА СОДЕЙСТВИЕМ</w:t>
      </w:r>
    </w:p>
    <w:p>
      <w:pPr>
        <w:pStyle w:val="2"/>
        <w:jc w:val="center"/>
      </w:pPr>
      <w:r>
        <w:rPr>
          <w:sz w:val="24"/>
        </w:rPr>
        <w:t xml:space="preserve">В ПОИСКЕ ПОДХОДЯЩЕЙ РАБОТЫ И ЗАКЛЮЧИВШИХ УЧЕНИЧЕСКИЙ ДОГОВОР</w:t>
      </w:r>
    </w:p>
    <w:p>
      <w:pPr>
        <w:pStyle w:val="2"/>
        <w:jc w:val="center"/>
      </w:pPr>
      <w:r>
        <w:rPr>
          <w:sz w:val="24"/>
        </w:rPr>
        <w:t xml:space="preserve">С ПРЕДПРИЯТИЯМИ ОБОРОННО-ПРОМЫШЛЕННОГО КОМПЛЕКСА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3"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color w:val="392c69"/>
              </w:rPr>
              <w:t xml:space="preserve"> Правительства Белгородской области</w:t>
            </w:r>
          </w:p>
          <w:p>
            <w:pPr>
              <w:pStyle w:val="0"/>
              <w:jc w:val="center"/>
            </w:pPr>
            <w:r>
              <w:rPr>
                <w:sz w:val="24"/>
                <w:color w:val="392c69"/>
              </w:rPr>
              <w:t xml:space="preserve">от 29.05.2023 N 295-пп)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Порядок предоставления иных межбюджетных трансфертов из федерального бюджета и средств областного бюджета на реализацию регионального проекта, обеспечивающего достижение целей, показателей и результатов федерального проекта "Содействие занятости" национального проекта "Демография" по реализации дополнительных мероприятий, направленных на снижение напряженности на рынке труда Белгородской области, по финансовому обеспечению (возмещению)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(далее - Порядок), устанавливает правила определения объема, цели и условий предоставления субсидии предприятиям оборонно-промышленного комплекса на реализацию дополнительных мероприятий по организации обучения (далее соответственно - субсидия, работодатели).</w:t>
      </w:r>
    </w:p>
    <w:p>
      <w:pPr>
        <w:pStyle w:val="0"/>
        <w:jc w:val="both"/>
      </w:pPr>
      <w:r>
        <w:rPr>
          <w:sz w:val="24"/>
        </w:rPr>
        <w:t xml:space="preserve">(п. 1.1 в ред. </w:t>
      </w:r>
      <w:hyperlink w:history="0" r:id="rId14"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bookmarkStart w:id="71" w:name="P71"/>
    <w:bookmarkEnd w:id="71"/>
    <w:p>
      <w:pPr>
        <w:pStyle w:val="0"/>
        <w:spacing w:before="240" w:lineRule="auto"/>
        <w:ind w:firstLine="540"/>
        <w:jc w:val="both"/>
      </w:pPr>
      <w:r>
        <w:rPr>
          <w:sz w:val="24"/>
        </w:rPr>
        <w:t xml:space="preserve">1.2. Целью предоставления субсидии является финансовое обеспечение (возмещение)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(далее соответственно - профессиональное обучение, работники, граждане).</w:t>
      </w:r>
    </w:p>
    <w:p>
      <w:pPr>
        <w:pStyle w:val="0"/>
        <w:spacing w:before="240" w:lineRule="auto"/>
        <w:ind w:firstLine="540"/>
        <w:jc w:val="both"/>
      </w:pPr>
      <w:r>
        <w:rPr>
          <w:sz w:val="24"/>
        </w:rPr>
        <w:t xml:space="preserve">Организация профессионального обучения осуществляется работодателями самостоятельно исходя из условий производства и требований к квалификации работников под имеющиеся и (или) создаваемые (модернизируемые) работодателями рабочие места.</w:t>
      </w:r>
    </w:p>
    <w:p>
      <w:pPr>
        <w:pStyle w:val="0"/>
        <w:spacing w:before="240" w:lineRule="auto"/>
        <w:ind w:firstLine="540"/>
        <w:jc w:val="both"/>
      </w:pPr>
      <w:r>
        <w:rPr>
          <w:sz w:val="24"/>
        </w:rPr>
        <w:t xml:space="preserve">Профессиональное обучение призвано повысить конкурентоспособность работников, адаптировать их к работе с новыми технологиями и требованиями, предотвратить риск их высвобождения, а также гарантировать трудоустройство граждан.</w:t>
      </w:r>
    </w:p>
    <w:p>
      <w:pPr>
        <w:pStyle w:val="0"/>
        <w:spacing w:before="240" w:lineRule="auto"/>
        <w:ind w:firstLine="540"/>
        <w:jc w:val="both"/>
      </w:pPr>
      <w:r>
        <w:rPr>
          <w:sz w:val="24"/>
        </w:rPr>
        <w:t xml:space="preserve">Организация профессионального обучения работников и граждан осуществляется путем обучения по дополнительным профессиональным программам (программам повышения квалификации и программам профессиональной переподготовки) и основным программам профессионального обучения (программам профессиональной подготовки по профессиям рабочих, должностям служащих, программам переподготовки рабочих, служащих, программам повышения квалификации рабочих, служащих) и завершается итоговой аттестацией в форме, предусмотренной законодательством Российской Федерации об образовании.</w:t>
      </w:r>
    </w:p>
    <w:p>
      <w:pPr>
        <w:pStyle w:val="0"/>
        <w:spacing w:before="240" w:lineRule="auto"/>
        <w:ind w:firstLine="540"/>
        <w:jc w:val="both"/>
      </w:pPr>
      <w:r>
        <w:rPr>
          <w:sz w:val="24"/>
        </w:rPr>
        <w:t xml:space="preserve">Профессиональное обучение работников и граждан осуществляется в организациях (в том числе специализированных структурных образовательных подразделениях), имеющих лицензию на право ведения образовательной деятельности по профессиональному обучению и (или) дополнительному профессиональному образованию (далее - образовательная организация).</w:t>
      </w:r>
    </w:p>
    <w:p>
      <w:pPr>
        <w:pStyle w:val="0"/>
        <w:spacing w:before="240" w:lineRule="auto"/>
        <w:ind w:firstLine="540"/>
        <w:jc w:val="both"/>
      </w:pPr>
      <w:r>
        <w:rPr>
          <w:sz w:val="24"/>
        </w:rPr>
        <w:t xml:space="preserve">Продолжительность профессионального обучения работников и граждан не должна превышать 3 месяцев.</w:t>
      </w:r>
    </w:p>
    <w:p>
      <w:pPr>
        <w:pStyle w:val="0"/>
        <w:jc w:val="both"/>
      </w:pPr>
      <w:r>
        <w:rPr>
          <w:sz w:val="24"/>
        </w:rPr>
        <w:t xml:space="preserve">(п. 1.2 в ред. </w:t>
      </w:r>
      <w:hyperlink w:history="0" r:id="rId15"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1.3. Главным распорядителем как получателем средств областного бюджета, направляемых на предоставление субсидий в соответствии с Порядком, является министерство социальной защиты населения и труда Белгородской области (далее - Министерство), которое доводит бюджетные ассигнования, лимиты бюджетных обязательств областному казенному учреждению "Центр занятости населения Белгородской области" (далее - центр занятости).</w:t>
      </w:r>
    </w:p>
    <w:p>
      <w:pPr>
        <w:pStyle w:val="0"/>
        <w:spacing w:before="240" w:lineRule="auto"/>
        <w:ind w:firstLine="540"/>
        <w:jc w:val="both"/>
      </w:pPr>
      <w:r>
        <w:rPr>
          <w:sz w:val="24"/>
        </w:rPr>
        <w:t xml:space="preserve">Предоставление субсидий осуществляется в соответствии со сводной бюджетной росписью областного бюджета на соответствующий финансовый год и плановый период в пределах лимитов бюджетных обязательств, утвержденных Министерству на цель, указанную в </w:t>
      </w:r>
      <w:hyperlink w:history="0" w:anchor="P71" w:tooltip="1.2. Целью предоставления субсидии является финансовое обеспечение (возмещение)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далее соответственно - профессиональное обучение, работники, граждане).">
        <w:r>
          <w:rPr>
            <w:sz w:val="24"/>
            <w:color w:val="0000ff"/>
          </w:rPr>
          <w:t xml:space="preserve">первом абзаце пункта 1.2 раздела 1</w:t>
        </w:r>
      </w:hyperlink>
      <w:r>
        <w:rPr>
          <w:sz w:val="24"/>
        </w:rPr>
        <w:t xml:space="preserve"> Порядка.</w:t>
      </w:r>
    </w:p>
    <w:p>
      <w:pPr>
        <w:pStyle w:val="0"/>
        <w:spacing w:before="240" w:lineRule="auto"/>
        <w:ind w:firstLine="540"/>
        <w:jc w:val="both"/>
      </w:pPr>
      <w:r>
        <w:rPr>
          <w:sz w:val="24"/>
        </w:rPr>
        <w:t xml:space="preserve">Уровень софинансирования из областного бюджета определяется в размере не менее уровня софинансирования, установленного соглашением о предоставлении иного межбюджетного трансферта из федерального бюджета областному бюджету, заключенным между Федеральной службой по труду и занятости и Правительством Белгородской области.</w:t>
      </w:r>
    </w:p>
    <w:p>
      <w:pPr>
        <w:pStyle w:val="0"/>
        <w:spacing w:before="240" w:lineRule="auto"/>
        <w:ind w:firstLine="540"/>
        <w:jc w:val="both"/>
      </w:pPr>
      <w:r>
        <w:rPr>
          <w:sz w:val="24"/>
        </w:rPr>
        <w:t xml:space="preserve">Организацией, уполномоченной на предоставление субсидии в соответствии с Порядком, является областное казенное учреждение "Центр занятости населения Белгородской области" (далее - центр занятости).</w:t>
      </w:r>
    </w:p>
    <w:p>
      <w:pPr>
        <w:pStyle w:val="0"/>
        <w:jc w:val="both"/>
      </w:pPr>
      <w:r>
        <w:rPr>
          <w:sz w:val="24"/>
        </w:rPr>
        <w:t xml:space="preserve">(абзац введен </w:t>
      </w:r>
      <w:hyperlink w:history="0" r:id="rId16"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постановлением</w:t>
        </w:r>
      </w:hyperlink>
      <w:r>
        <w:rPr>
          <w:sz w:val="24"/>
        </w:rPr>
        <w:t xml:space="preserve"> Правительства Белгородской области от 29.05.2023 N 295-пп)</w:t>
      </w:r>
    </w:p>
    <w:bookmarkStart w:id="83" w:name="P83"/>
    <w:bookmarkEnd w:id="83"/>
    <w:p>
      <w:pPr>
        <w:pStyle w:val="0"/>
        <w:spacing w:before="240" w:lineRule="auto"/>
        <w:ind w:firstLine="540"/>
        <w:jc w:val="both"/>
      </w:pPr>
      <w:r>
        <w:rPr>
          <w:sz w:val="24"/>
        </w:rPr>
        <w:t xml:space="preserve">1.4. Перечень предприятий оборонно-промышленного комплекса утверждается Министерством промышленности и торговли Российской Федерации с учетом приоритетности решаемых задач и перечня отдельных организаций оборонно-промышленного комплекса, их структурных подразделений и отдельных производственных объектов, утвержденного в соответствии с </w:t>
      </w:r>
      <w:hyperlink w:history="0" r:id="rId17" w:tooltip="Постановление Правительства РФ от 01.08.2022 N 1365 &quot;Об особенностях правового регулирования трудовых отношений в отдельных организациях, их структурных подразделениях и на отдельных производственных объектах&quot; (вместе с &quot;Особенностями правового регулирования трудовых отношений в отдельных организациях оборонно-промышленного комплекса, их структурных подразделениях и на отдельных производственных объектах&quot;) {КонсультантПлюс}">
        <w:r>
          <w:rPr>
            <w:sz w:val="24"/>
            <w:color w:val="0000ff"/>
          </w:rPr>
          <w:t xml:space="preserve">постановлением</w:t>
        </w:r>
      </w:hyperlink>
      <w:r>
        <w:rPr>
          <w:sz w:val="24"/>
        </w:rPr>
        <w:t xml:space="preserve"> Правительства Российской Федерации от 1 августа 2022 года N 1365 "Об особенностях правового регулирования трудовых отношений в отдельных организациях, их структурных подразделениях и на отдельных производственных объектах" (далее - Перечень предприятий оборонно-промышленного комплекса).</w:t>
      </w:r>
    </w:p>
    <w:bookmarkStart w:id="84" w:name="P84"/>
    <w:bookmarkEnd w:id="84"/>
    <w:p>
      <w:pPr>
        <w:pStyle w:val="0"/>
        <w:spacing w:before="240" w:lineRule="auto"/>
        <w:ind w:firstLine="540"/>
        <w:jc w:val="both"/>
      </w:pPr>
      <w:r>
        <w:rPr>
          <w:sz w:val="24"/>
        </w:rPr>
        <w:t xml:space="preserve">Министерство социальной защиты населения и труда Белгородской области на основании перечня, указанного в </w:t>
      </w:r>
      <w:hyperlink w:history="0" w:anchor="P83" w:tooltip="1.4. Перечень предприятий оборонно-промышленного комплекса утверждается Министерством промышленности и торговли Российской Федерации с учетом приоритетности решаемых задач и перечня отдельных организаций оборонно-промышленного комплекса, их структурных подразделений и отдельных производственных объектов, утвержденного в соответствии с постановлением Правительства Российской Федерации от 1 августа 2022 года N 1365 &quot;Об особенностях правового регулирования трудовых отношений в отдельных организациях, их стр...">
        <w:r>
          <w:rPr>
            <w:sz w:val="24"/>
            <w:color w:val="0000ff"/>
          </w:rPr>
          <w:t xml:space="preserve">первом абзаце</w:t>
        </w:r>
      </w:hyperlink>
      <w:r>
        <w:rPr>
          <w:sz w:val="24"/>
        </w:rPr>
        <w:t xml:space="preserve"> настоящего пункта, утверждает региональный перечень предприятий оборонно-промышленного комплекса и профессий (специальностей), в соответствии с которым организуется профессиональное обучение и дополнительное профессиональное образование работников, а также граждан (далее - Региональный перечень).</w:t>
      </w:r>
    </w:p>
    <w:p>
      <w:pPr>
        <w:pStyle w:val="0"/>
        <w:spacing w:before="240" w:lineRule="auto"/>
        <w:ind w:firstLine="540"/>
        <w:jc w:val="both"/>
      </w:pPr>
      <w:r>
        <w:rPr>
          <w:sz w:val="24"/>
        </w:rPr>
        <w:t xml:space="preserve">Перечень предприятий оборонно-промышленного комплекса и Региональный перечень являются информацией ограниченного доступа.</w:t>
      </w:r>
    </w:p>
    <w:p>
      <w:pPr>
        <w:pStyle w:val="0"/>
        <w:jc w:val="both"/>
      </w:pPr>
      <w:r>
        <w:rPr>
          <w:sz w:val="24"/>
        </w:rPr>
        <w:t xml:space="preserve">(п. 1.4 введен </w:t>
      </w:r>
      <w:hyperlink w:history="0" r:id="rId18"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постановлением</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1.5. Работодатель до направления граждан на профессиональное обучение заключает с ними ученические договоры.</w:t>
      </w:r>
    </w:p>
    <w:p>
      <w:pPr>
        <w:pStyle w:val="0"/>
        <w:jc w:val="both"/>
      </w:pPr>
      <w:r>
        <w:rPr>
          <w:sz w:val="24"/>
        </w:rPr>
        <w:t xml:space="preserve">(п. 1.5 введен </w:t>
      </w:r>
      <w:hyperlink w:history="0" r:id="rId19"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постановлением</w:t>
        </w:r>
      </w:hyperlink>
      <w:r>
        <w:rPr>
          <w:sz w:val="24"/>
        </w:rPr>
        <w:t xml:space="preserve"> Правительства Белгородской области от 29.05.2023 N 295-пп)</w:t>
      </w:r>
    </w:p>
    <w:bookmarkStart w:id="89" w:name="P89"/>
    <w:bookmarkEnd w:id="89"/>
    <w:p>
      <w:pPr>
        <w:pStyle w:val="0"/>
        <w:spacing w:before="240" w:lineRule="auto"/>
        <w:ind w:firstLine="540"/>
        <w:jc w:val="both"/>
      </w:pPr>
      <w:r>
        <w:rPr>
          <w:sz w:val="24"/>
        </w:rPr>
        <w:t xml:space="preserve">1.6. Работники и граждане не должны являться участниками мероприятия по организации профессионального обучения и дополнительного профессионального образования отдельных категорий граждан, предусмотренного </w:t>
      </w:r>
      <w:hyperlink w:history="0" r:id="rId20" w:tooltip="Постановление Правительства РФ от 13.03.2021 N 369 (ред. от 05.10.2023) &quot;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quot;Содействие занятости&quot; национального проекта &quot;Демография&quot; (вместе с &quot;Правилами предоставления грантов в форме субсидий из федерального бюджета некоммерческим организациям  ------------ Утратил силу или отменен {КонсультантПлюс}">
        <w:r>
          <w:rPr>
            <w:sz w:val="24"/>
            <w:color w:val="0000ff"/>
          </w:rPr>
          <w:t xml:space="preserve">постановлением</w:t>
        </w:r>
      </w:hyperlink>
      <w:r>
        <w:rPr>
          <w:sz w:val="24"/>
        </w:rPr>
        <w:t xml:space="preserve"> Правительства Российской Федерации от 13 марта 2021 года N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pPr>
        <w:pStyle w:val="0"/>
        <w:jc w:val="both"/>
      </w:pPr>
      <w:r>
        <w:rPr>
          <w:sz w:val="24"/>
        </w:rPr>
        <w:t xml:space="preserve">(п. 1.6 введен </w:t>
      </w:r>
      <w:hyperlink w:history="0" r:id="rId21"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постановлением</w:t>
        </w:r>
      </w:hyperlink>
      <w:r>
        <w:rPr>
          <w:sz w:val="24"/>
        </w:rPr>
        <w:t xml:space="preserve"> Правительства Белгородской области от 29.05.2023 N 295-пп)</w:t>
      </w:r>
    </w:p>
    <w:bookmarkStart w:id="91" w:name="P91"/>
    <w:bookmarkEnd w:id="91"/>
    <w:p>
      <w:pPr>
        <w:pStyle w:val="0"/>
        <w:spacing w:before="240" w:lineRule="auto"/>
        <w:ind w:firstLine="540"/>
        <w:jc w:val="both"/>
      </w:pPr>
      <w:hyperlink w:history="0" r:id="rId22"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1.7</w:t>
        </w:r>
      </w:hyperlink>
      <w:r>
        <w:rPr>
          <w:sz w:val="24"/>
        </w:rPr>
        <w:t xml:space="preserve">. Критерии отбора работодателей, имеющих право на получение субсидии:</w:t>
      </w:r>
    </w:p>
    <w:p>
      <w:pPr>
        <w:pStyle w:val="0"/>
        <w:spacing w:before="240" w:lineRule="auto"/>
        <w:ind w:firstLine="540"/>
        <w:jc w:val="both"/>
      </w:pPr>
      <w:r>
        <w:rPr>
          <w:sz w:val="24"/>
        </w:rPr>
        <w:t xml:space="preserve">1) наличие участника отбора в Региональном перечне, утвержденном в соответствии со </w:t>
      </w:r>
      <w:hyperlink w:history="0" w:anchor="P84" w:tooltip="Министерство социальной защиты населения и труда Белгородской области на основании перечня, указанного в первом абзаце настоящего пункта, утверждает региональный перечень предприятий оборонно-промышленного комплекса и профессий (специальностей), в соответствии с которым организуется профессиональное обучение и дополнительное профессиональное образование работников, а также граждан (далее - Региональный перечень).">
        <w:r>
          <w:rPr>
            <w:sz w:val="24"/>
            <w:color w:val="0000ff"/>
          </w:rPr>
          <w:t xml:space="preserve">вторым абзацем пункта 1.4 раздела 1</w:t>
        </w:r>
      </w:hyperlink>
      <w:r>
        <w:rPr>
          <w:sz w:val="24"/>
        </w:rPr>
        <w:t xml:space="preserve"> Порядка;</w:t>
      </w:r>
    </w:p>
    <w:p>
      <w:pPr>
        <w:pStyle w:val="0"/>
        <w:spacing w:before="240" w:lineRule="auto"/>
        <w:ind w:firstLine="540"/>
        <w:jc w:val="both"/>
      </w:pPr>
      <w:r>
        <w:rPr>
          <w:sz w:val="24"/>
        </w:rPr>
        <w:t xml:space="preserve">2) соответствие работников и граждан, направляемых на профессиональное обучение, требованию, указанному в </w:t>
      </w:r>
      <w:hyperlink w:history="0" w:anchor="P89" w:tooltip="1.6. Работники и граждане не должны являться участниками мероприятия по организации профессионального обучения и дополнительного профессионального образования отдельных категорий граждан, предусмотренного постановлением Правительства Российской Федерации от 13 марта 2021 года N 369 &quot;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
        <w:r>
          <w:rPr>
            <w:sz w:val="24"/>
            <w:color w:val="0000ff"/>
          </w:rPr>
          <w:t xml:space="preserve">пункте 1.6 раздела 1</w:t>
        </w:r>
      </w:hyperlink>
      <w:r>
        <w:rPr>
          <w:sz w:val="24"/>
        </w:rPr>
        <w:t xml:space="preserve"> Порядка;</w:t>
      </w:r>
    </w:p>
    <w:p>
      <w:pPr>
        <w:pStyle w:val="0"/>
        <w:spacing w:before="240" w:lineRule="auto"/>
        <w:ind w:firstLine="540"/>
        <w:jc w:val="both"/>
      </w:pPr>
      <w:r>
        <w:rPr>
          <w:sz w:val="24"/>
        </w:rPr>
        <w:t xml:space="preserve">3) соответствие участника отбора требованиям, установленным </w:t>
      </w:r>
      <w:hyperlink w:history="0" w:anchor="P121" w:tooltip="2.3. Требования к участнику отбора, которым он должен соответствовать на дату не ранее 15 (пятнадцати) рабочих дней до даты подачи заявки:">
        <w:r>
          <w:rPr>
            <w:sz w:val="24"/>
            <w:color w:val="0000ff"/>
          </w:rPr>
          <w:t xml:space="preserve">пунктом 2.3 раздела 2</w:t>
        </w:r>
      </w:hyperlink>
      <w:r>
        <w:rPr>
          <w:sz w:val="24"/>
        </w:rPr>
        <w:t xml:space="preserve"> Порядка.</w:t>
      </w:r>
    </w:p>
    <w:p>
      <w:pPr>
        <w:pStyle w:val="0"/>
        <w:jc w:val="both"/>
      </w:pPr>
      <w:r>
        <w:rPr>
          <w:sz w:val="24"/>
        </w:rPr>
        <w:t xml:space="preserve">(п. 1.7 в ред. </w:t>
      </w:r>
      <w:hyperlink w:history="0" r:id="rId23"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hyperlink w:history="0" r:id="rId24"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1.8</w:t>
        </w:r>
      </w:hyperlink>
      <w:r>
        <w:rPr>
          <w:sz w:val="24"/>
        </w:rPr>
        <w:t xml:space="preserve">. Отбор получателей субсидии проводится способом запроса предложений на основании заявок на участие в отборе работодателей, претендующих на предоставление субсидий на организацию профессионального обучения и дополнительного профессионального образования работников, а также граждан (далее соответственно - отбор, заявка).</w:t>
      </w:r>
    </w:p>
    <w:p>
      <w:pPr>
        <w:pStyle w:val="0"/>
        <w:jc w:val="both"/>
      </w:pPr>
      <w:r>
        <w:rPr>
          <w:sz w:val="24"/>
        </w:rPr>
        <w:t xml:space="preserve">(п. 1.8 в ред. </w:t>
      </w:r>
      <w:hyperlink w:history="0" r:id="rId25"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hyperlink w:history="0" r:id="rId26"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1.9</w:t>
        </w:r>
      </w:hyperlink>
      <w:r>
        <w:rPr>
          <w:sz w:val="24"/>
        </w:rPr>
        <w:t xml:space="preserve">. Сведения о субсидии размещаются на едином портале бюджетной системы Российской Федерации в Интернет не позднее 15-го рабочего дня, следующего за днем принятия закона Белгородской области об областном бюджете на соответствующий год и плановый период, внесении изменений в закон Белгородской области об областном бюджете.</w:t>
      </w:r>
    </w:p>
    <w:p>
      <w:pPr>
        <w:pStyle w:val="0"/>
        <w:jc w:val="both"/>
      </w:pPr>
      <w:r>
        <w:rPr>
          <w:sz w:val="24"/>
        </w:rPr>
      </w:r>
    </w:p>
    <w:p>
      <w:pPr>
        <w:pStyle w:val="2"/>
        <w:outlineLvl w:val="1"/>
        <w:jc w:val="center"/>
      </w:pPr>
      <w:r>
        <w:rPr>
          <w:sz w:val="24"/>
        </w:rPr>
        <w:t xml:space="preserve">2. Порядок проведения отбора</w:t>
      </w:r>
    </w:p>
    <w:p>
      <w:pPr>
        <w:pStyle w:val="0"/>
        <w:jc w:val="both"/>
      </w:pPr>
      <w:r>
        <w:rPr>
          <w:sz w:val="24"/>
        </w:rPr>
      </w:r>
    </w:p>
    <w:p>
      <w:pPr>
        <w:pStyle w:val="0"/>
        <w:ind w:firstLine="540"/>
        <w:jc w:val="both"/>
      </w:pPr>
      <w:r>
        <w:rPr>
          <w:sz w:val="24"/>
        </w:rPr>
        <w:t xml:space="preserve">2.1. Отбор получателей субсидии проводится в форме запроса предложений на основании заявок, направленных работодателями (далее - участники отбора) в центр занятости, исходя из соответствия участников отбора критериям, указанным в </w:t>
      </w:r>
      <w:hyperlink w:history="0" w:anchor="P91" w:tooltip="1.7. Критерии отбора работодателей, имеющих право на получение субсидии:">
        <w:r>
          <w:rPr>
            <w:sz w:val="24"/>
            <w:color w:val="0000ff"/>
          </w:rPr>
          <w:t xml:space="preserve">пункте 1.7 раздела 1</w:t>
        </w:r>
      </w:hyperlink>
      <w:r>
        <w:rPr>
          <w:sz w:val="24"/>
        </w:rPr>
        <w:t xml:space="preserve"> Порядка, и очередности поступления заявок.</w:t>
      </w:r>
    </w:p>
    <w:p>
      <w:pPr>
        <w:pStyle w:val="0"/>
        <w:jc w:val="both"/>
      </w:pPr>
      <w:r>
        <w:rPr>
          <w:sz w:val="24"/>
        </w:rPr>
        <w:t xml:space="preserve">(в ред. </w:t>
      </w:r>
      <w:hyperlink w:history="0" r:id="rId27"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Информация о проведении отбора, о результатах рассмотрения заявок, об участниках отбора и результатах отбора, в том числе о заключенных с участниками отбора договорах (соглашениях), является информацией ограниченного доступа.</w:t>
      </w:r>
    </w:p>
    <w:p>
      <w:pPr>
        <w:pStyle w:val="0"/>
        <w:jc w:val="both"/>
      </w:pPr>
      <w:r>
        <w:rPr>
          <w:sz w:val="24"/>
        </w:rPr>
        <w:t xml:space="preserve">(абзац введен </w:t>
      </w:r>
      <w:hyperlink w:history="0" r:id="rId28"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постановлением</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2.2. Для проведения отбора Министерство в течение 20 (двадцати) рабочих дней со дня доведения лимитов бюджетных обязательств Министерству на очередной финансовый год формирует объявление о проведении отбора с указанием:</w:t>
      </w:r>
    </w:p>
    <w:p>
      <w:pPr>
        <w:pStyle w:val="0"/>
        <w:spacing w:before="240" w:lineRule="auto"/>
        <w:ind w:firstLine="540"/>
        <w:jc w:val="both"/>
      </w:pPr>
      <w:r>
        <w:rPr>
          <w:sz w:val="24"/>
        </w:rPr>
        <w:t xml:space="preserve">- срока проведения отбора (даты и времени начала (окончания) подачи (приема) заявок);</w:t>
      </w:r>
    </w:p>
    <w:p>
      <w:pPr>
        <w:pStyle w:val="0"/>
        <w:spacing w:before="240" w:lineRule="auto"/>
        <w:ind w:firstLine="540"/>
        <w:jc w:val="both"/>
      </w:pPr>
      <w:r>
        <w:rPr>
          <w:sz w:val="24"/>
        </w:rPr>
        <w:t xml:space="preserve">- наименования, местонахождения, почтового адреса центра занятости;</w:t>
      </w:r>
    </w:p>
    <w:p>
      <w:pPr>
        <w:pStyle w:val="0"/>
        <w:spacing w:before="240" w:lineRule="auto"/>
        <w:ind w:firstLine="540"/>
        <w:jc w:val="both"/>
      </w:pPr>
      <w:r>
        <w:rPr>
          <w:sz w:val="24"/>
        </w:rPr>
        <w:t xml:space="preserve">- результатов предоставления субсидии;</w:t>
      </w:r>
    </w:p>
    <w:p>
      <w:pPr>
        <w:pStyle w:val="0"/>
        <w:spacing w:before="240" w:lineRule="auto"/>
        <w:ind w:firstLine="540"/>
        <w:jc w:val="both"/>
      </w:pPr>
      <w:r>
        <w:rPr>
          <w:sz w:val="24"/>
        </w:rPr>
        <w:t xml:space="preserve">- требований к участникам отбора и перечня документов, представляемых ими для подтверждения их соответствия указанным требованиям;</w:t>
      </w:r>
    </w:p>
    <w:p>
      <w:pPr>
        <w:pStyle w:val="0"/>
        <w:spacing w:before="240" w:lineRule="auto"/>
        <w:ind w:firstLine="540"/>
        <w:jc w:val="both"/>
      </w:pPr>
      <w:r>
        <w:rPr>
          <w:sz w:val="24"/>
        </w:rPr>
        <w:t xml:space="preserve">- порядка подачи заявок и требований, предъявляемых к форме и содержанию заявок;</w:t>
      </w:r>
    </w:p>
    <w:p>
      <w:pPr>
        <w:pStyle w:val="0"/>
        <w:spacing w:before="240" w:lineRule="auto"/>
        <w:ind w:firstLine="540"/>
        <w:jc w:val="both"/>
      </w:pPr>
      <w:r>
        <w:rPr>
          <w:sz w:val="24"/>
        </w:rPr>
        <w:t xml:space="preserve">- порядка отзыва заявок, порядка возврата заявок, определяющего также основания для возврата заявок, порядка внесения изменений в заявки;</w:t>
      </w:r>
    </w:p>
    <w:p>
      <w:pPr>
        <w:pStyle w:val="0"/>
        <w:spacing w:before="240" w:lineRule="auto"/>
        <w:ind w:firstLine="540"/>
        <w:jc w:val="both"/>
      </w:pPr>
      <w:r>
        <w:rPr>
          <w:sz w:val="24"/>
        </w:rPr>
        <w:t xml:space="preserve">- правил рассмотрения и оценки заявок;</w:t>
      </w:r>
    </w:p>
    <w:p>
      <w:pPr>
        <w:pStyle w:val="0"/>
        <w:spacing w:before="240" w:lineRule="auto"/>
        <w:ind w:firstLine="540"/>
        <w:jc w:val="both"/>
      </w:pPr>
      <w:r>
        <w:rPr>
          <w:sz w:val="24"/>
        </w:rPr>
        <w:t xml:space="preserve">- порядка предоставления разъяснений положений объявления о проведении отбора, даты начала и окончания срока такого предоставления;</w:t>
      </w:r>
    </w:p>
    <w:p>
      <w:pPr>
        <w:pStyle w:val="0"/>
        <w:spacing w:before="240" w:lineRule="auto"/>
        <w:ind w:firstLine="540"/>
        <w:jc w:val="both"/>
      </w:pPr>
      <w:r>
        <w:rPr>
          <w:sz w:val="24"/>
        </w:rPr>
        <w:t xml:space="preserve">- срока, в течение которого победитель (победители) отбора должен (должны) подписать договор (соглашение) о предоставлении субсидии (далее - договор (соглашение));</w:t>
      </w:r>
    </w:p>
    <w:p>
      <w:pPr>
        <w:pStyle w:val="0"/>
        <w:spacing w:before="240" w:lineRule="auto"/>
        <w:ind w:firstLine="540"/>
        <w:jc w:val="both"/>
      </w:pPr>
      <w:r>
        <w:rPr>
          <w:sz w:val="24"/>
        </w:rPr>
        <w:t xml:space="preserve">- условий признания победителя (победителей) отбора уклонившимся (уклонившимися) от заключения договора (соглашения);</w:t>
      </w:r>
    </w:p>
    <w:p>
      <w:pPr>
        <w:pStyle w:val="0"/>
        <w:spacing w:before="240" w:lineRule="auto"/>
        <w:ind w:firstLine="540"/>
        <w:jc w:val="both"/>
      </w:pPr>
      <w:r>
        <w:rPr>
          <w:sz w:val="24"/>
        </w:rPr>
        <w:t xml:space="preserve">- информации о сроках доведения результатов отбора.</w:t>
      </w:r>
    </w:p>
    <w:p>
      <w:pPr>
        <w:pStyle w:val="0"/>
        <w:spacing w:before="240" w:lineRule="auto"/>
        <w:ind w:firstLine="540"/>
        <w:jc w:val="both"/>
      </w:pPr>
      <w:r>
        <w:rPr>
          <w:sz w:val="24"/>
        </w:rPr>
        <w:t xml:space="preserve">Центр занятости в течение 5 (пяти) рабочих дней со дня получения объявления о проведении отбора передает его на бумажном носителе лично уполномоченному лицу каждого работодателя, включенного в Региональный перечень.</w:t>
      </w:r>
    </w:p>
    <w:p>
      <w:pPr>
        <w:pStyle w:val="0"/>
        <w:spacing w:before="240" w:lineRule="auto"/>
        <w:ind w:firstLine="540"/>
        <w:jc w:val="both"/>
      </w:pPr>
      <w:r>
        <w:rPr>
          <w:sz w:val="24"/>
        </w:rPr>
        <w:t xml:space="preserve">При внесении изменений в Перечень предприятий оборонно-промышленного комплекса, указанный в </w:t>
      </w:r>
      <w:hyperlink w:history="0" w:anchor="P83" w:tooltip="1.4. Перечень предприятий оборонно-промышленного комплекса утверждается Министерством промышленности и торговли Российской Федерации с учетом приоритетности решаемых задач и перечня отдельных организаций оборонно-промышленного комплекса, их структурных подразделений и отдельных производственных объектов, утвержденного в соответствии с постановлением Правительства Российской Федерации от 1 августа 2022 года N 1365 &quot;Об особенностях правового регулирования трудовых отношений в отдельных организациях, их стр...">
        <w:r>
          <w:rPr>
            <w:sz w:val="24"/>
            <w:color w:val="0000ff"/>
          </w:rPr>
          <w:t xml:space="preserve">первом абзаце пункта 1.4 раздела 1</w:t>
        </w:r>
      </w:hyperlink>
      <w:r>
        <w:rPr>
          <w:sz w:val="24"/>
        </w:rPr>
        <w:t xml:space="preserve"> Порядка, и необходимости организации профессионального обучения или дополнительного профессионального образования работников вновь включенных предприятий, а также граждан, обратившихся в органы службы занятости за содействием в поиске подходящей работы и заключивших ученический договор с вновь включенными предприятиями оборонно-промышленного комплекса, после завершения отбора проводится дополнительный этап отбора с указанием сроков и порядка его проведения (по необходимости).</w:t>
      </w:r>
    </w:p>
    <w:p>
      <w:pPr>
        <w:pStyle w:val="0"/>
        <w:jc w:val="both"/>
      </w:pPr>
      <w:r>
        <w:rPr>
          <w:sz w:val="24"/>
        </w:rPr>
        <w:t xml:space="preserve">(п. 2.2 в ред. </w:t>
      </w:r>
      <w:hyperlink w:history="0" r:id="rId29"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bookmarkStart w:id="121" w:name="P121"/>
    <w:bookmarkEnd w:id="121"/>
    <w:p>
      <w:pPr>
        <w:pStyle w:val="0"/>
        <w:spacing w:before="240" w:lineRule="auto"/>
        <w:ind w:firstLine="540"/>
        <w:jc w:val="both"/>
      </w:pPr>
      <w:r>
        <w:rPr>
          <w:sz w:val="24"/>
        </w:rPr>
        <w:t xml:space="preserve">2.3. Требования к участнику отбора, которым он должен соответствовать на дату не ранее 15 (пятнадцати) рабочих дней до даты подачи заявки:</w:t>
      </w:r>
    </w:p>
    <w:p>
      <w:pPr>
        <w:pStyle w:val="0"/>
        <w:spacing w:before="240" w:lineRule="auto"/>
        <w:ind w:firstLine="540"/>
        <w:jc w:val="both"/>
      </w:pPr>
      <w:r>
        <w:rPr>
          <w:sz w:val="24"/>
        </w:rPr>
        <w:t xml:space="preserve">-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0"/>
        <w:jc w:val="both"/>
      </w:pPr>
      <w:r>
        <w:rPr>
          <w:sz w:val="24"/>
        </w:rPr>
        <w:t xml:space="preserve">(в ред. </w:t>
      </w:r>
      <w:hyperlink w:history="0" r:id="rId30"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 у участника отбора должна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в соответствии с правовым актом,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субсидий, предоставляемых государственным (муниципальным)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w:t>
      </w:r>
    </w:p>
    <w:p>
      <w:pPr>
        <w:pStyle w:val="0"/>
        <w:jc w:val="both"/>
      </w:pPr>
      <w:r>
        <w:rPr>
          <w:sz w:val="24"/>
        </w:rPr>
        <w:t xml:space="preserve">(в ред. </w:t>
      </w:r>
      <w:hyperlink w:history="0" r:id="rId31"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 участник отбора - юридическое лицо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должна быть введена процедура банкротства, деятельность юридического лица не должна быть приостановлена в порядке, предусмотренном законодательством Российской Федерации, а участник отбора - индивидуальный предприниматель не должен прекратить деятельность в качестве индивидуального предпринимателя;</w:t>
      </w:r>
    </w:p>
    <w:p>
      <w:pPr>
        <w:pStyle w:val="0"/>
        <w:spacing w:before="240" w:lineRule="auto"/>
        <w:ind w:firstLine="540"/>
        <w:jc w:val="both"/>
      </w:pPr>
      <w:r>
        <w:rPr>
          <w:sz w:val="24"/>
        </w:rPr>
        <w:t xml:space="preserve">-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если участник отбора является индивидуальным предпринимателем;</w:t>
      </w:r>
    </w:p>
    <w:p>
      <w:pPr>
        <w:pStyle w:val="0"/>
        <w:spacing w:before="240" w:lineRule="auto"/>
        <w:ind w:firstLine="540"/>
        <w:jc w:val="both"/>
      </w:pPr>
      <w:r>
        <w:rPr>
          <w:sz w:val="24"/>
        </w:rPr>
        <w:t xml:space="preserve">- участник отбора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jc w:val="both"/>
      </w:pPr>
      <w:r>
        <w:rPr>
          <w:sz w:val="24"/>
        </w:rPr>
        <w:t xml:space="preserve">(в ред. </w:t>
      </w:r>
      <w:hyperlink w:history="0" r:id="rId32"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 участник отбора не должен получать средства из федерального бюджета, бюджета Белгородской области в соответствии с иными нормативными правовыми актами Российской Федерации, Белгородской области на цель, установленную Порядком;</w:t>
      </w:r>
    </w:p>
    <w:bookmarkStart w:id="131" w:name="P131"/>
    <w:bookmarkEnd w:id="131"/>
    <w:p>
      <w:pPr>
        <w:pStyle w:val="0"/>
        <w:spacing w:before="240" w:lineRule="auto"/>
        <w:ind w:firstLine="540"/>
        <w:jc w:val="both"/>
      </w:pPr>
      <w:r>
        <w:rPr>
          <w:sz w:val="24"/>
        </w:rPr>
        <w:t xml:space="preserve">- 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bookmarkStart w:id="132" w:name="P132"/>
    <w:bookmarkEnd w:id="132"/>
    <w:p>
      <w:pPr>
        <w:pStyle w:val="0"/>
        <w:spacing w:before="240" w:lineRule="auto"/>
        <w:ind w:firstLine="540"/>
        <w:jc w:val="both"/>
      </w:pPr>
      <w:r>
        <w:rPr>
          <w:sz w:val="24"/>
        </w:rPr>
        <w:t xml:space="preserve">2.4. Для участия в отборе участник отбора представляет в центр занятости </w:t>
      </w:r>
      <w:hyperlink w:history="0" w:anchor="P333" w:tooltip="Заявка">
        <w:r>
          <w:rPr>
            <w:sz w:val="24"/>
            <w:color w:val="0000ff"/>
          </w:rPr>
          <w:t xml:space="preserve">заявку</w:t>
        </w:r>
      </w:hyperlink>
      <w:r>
        <w:rPr>
          <w:sz w:val="24"/>
        </w:rPr>
        <w:t xml:space="preserve"> по форме согласно приложению N 1 к Порядку, включающую согласие на обработку персональных данных (для физического лица), с приложением следующих документов:</w:t>
      </w:r>
    </w:p>
    <w:p>
      <w:pPr>
        <w:pStyle w:val="0"/>
        <w:spacing w:before="240" w:lineRule="auto"/>
        <w:ind w:firstLine="540"/>
        <w:jc w:val="both"/>
      </w:pPr>
      <w:r>
        <w:rPr>
          <w:sz w:val="24"/>
        </w:rPr>
        <w:t xml:space="preserve">1) пояснительной </w:t>
      </w:r>
      <w:hyperlink w:history="0" w:anchor="P365" w:tooltip="Приложение N 2">
        <w:r>
          <w:rPr>
            <w:sz w:val="24"/>
            <w:color w:val="0000ff"/>
          </w:rPr>
          <w:t xml:space="preserve">записки</w:t>
        </w:r>
      </w:hyperlink>
      <w:r>
        <w:rPr>
          <w:sz w:val="24"/>
        </w:rPr>
        <w:t xml:space="preserve"> к заявке по форме согласно приложению N 2 к Порядку;</w:t>
      </w:r>
    </w:p>
    <w:bookmarkStart w:id="134" w:name="P134"/>
    <w:bookmarkEnd w:id="134"/>
    <w:p>
      <w:pPr>
        <w:pStyle w:val="0"/>
        <w:spacing w:before="240" w:lineRule="auto"/>
        <w:ind w:firstLine="540"/>
        <w:jc w:val="both"/>
      </w:pPr>
      <w:r>
        <w:rPr>
          <w:sz w:val="24"/>
        </w:rPr>
        <w:t xml:space="preserve">2) выписки из Единого государственного реестра юридических лиц (выписки из Единого государственного реестра индивидуальных предпринимателей) по состоянию на дату не ранее 15 (пятнадцати) рабочих дней до даты подачи заявки;</w:t>
      </w:r>
    </w:p>
    <w:p>
      <w:pPr>
        <w:pStyle w:val="0"/>
        <w:spacing w:before="240" w:lineRule="auto"/>
        <w:ind w:firstLine="540"/>
        <w:jc w:val="both"/>
      </w:pPr>
      <w:r>
        <w:rPr>
          <w:sz w:val="24"/>
        </w:rPr>
        <w:t xml:space="preserve">3) справки налогового органа, подтверждающей отсутствие у участника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не ранее 15 (пятнадцати) рабочих дней до даты подачи заявки;</w:t>
      </w:r>
    </w:p>
    <w:bookmarkStart w:id="136" w:name="P136"/>
    <w:bookmarkEnd w:id="136"/>
    <w:p>
      <w:pPr>
        <w:pStyle w:val="0"/>
        <w:spacing w:before="240" w:lineRule="auto"/>
        <w:ind w:firstLine="540"/>
        <w:jc w:val="both"/>
      </w:pPr>
      <w:r>
        <w:rPr>
          <w:sz w:val="24"/>
        </w:rPr>
        <w:t xml:space="preserve">4) справки налогового органа, подтверждающей отсутствие в реестре дисквалифицированных лиц сведений о дисквалифицированном руководителе, членах коллегиального исполнительного органа, лице, исполняющем функции единоличного исполнительного органа, или главном бухгалтере юридического лица, об индивидуальном предпринимателе, по состоянию на дату не ранее 15 (пятнадцати) рабочих дней до даты подачи заявки;</w:t>
      </w:r>
    </w:p>
    <w:p>
      <w:pPr>
        <w:pStyle w:val="0"/>
        <w:spacing w:before="240" w:lineRule="auto"/>
        <w:ind w:firstLine="540"/>
        <w:jc w:val="both"/>
      </w:pPr>
      <w:r>
        <w:rPr>
          <w:sz w:val="24"/>
        </w:rPr>
        <w:t xml:space="preserve">5) справки, подписанной участником отбора (иным уполномоченным лицом) и главным бухгалтером, с печатью (при наличии), подтверждающей, что участник отбора не получает средств из федерального бюджета и бюджета Белгородской области в соответствии с иными нормативными правовыми актами Российской Федерации, Белгородской области на цель, установленную </w:t>
      </w:r>
      <w:hyperlink w:history="0" w:anchor="P71" w:tooltip="1.2. Целью предоставления субсидии является финансовое обеспечение (возмещение)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далее соответственно - профессиональное обучение, работники, граждане).">
        <w:r>
          <w:rPr>
            <w:sz w:val="24"/>
            <w:color w:val="0000ff"/>
          </w:rPr>
          <w:t xml:space="preserve">пунктом 1.2 раздела 1</w:t>
        </w:r>
      </w:hyperlink>
      <w:r>
        <w:rPr>
          <w:sz w:val="24"/>
        </w:rPr>
        <w:t xml:space="preserve"> Порядка, по состоянию на дату не ранее 15 (пятнадцати) рабочих дней до даты подачи заявки;</w:t>
      </w:r>
    </w:p>
    <w:p>
      <w:pPr>
        <w:pStyle w:val="0"/>
        <w:spacing w:before="240" w:lineRule="auto"/>
        <w:ind w:firstLine="540"/>
        <w:jc w:val="both"/>
      </w:pPr>
      <w:r>
        <w:rPr>
          <w:sz w:val="24"/>
        </w:rPr>
        <w:t xml:space="preserve">6) справки, подписанной участником отбора (иным уполномоченным лицом с представлением документов, подтверждающих данные полномочия), с печатью (при наличии), подтверждающей соответствие участника отбора требованиям, предусмотренным </w:t>
      </w:r>
      <w:hyperlink w:history="0" w:anchor="P131" w:tooltip="- 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
        <w:r>
          <w:rPr>
            <w:sz w:val="24"/>
            <w:color w:val="0000ff"/>
          </w:rPr>
          <w:t xml:space="preserve">восьмым абзацем пункта 2.3 раздела 2</w:t>
        </w:r>
      </w:hyperlink>
      <w:r>
        <w:rPr>
          <w:sz w:val="24"/>
        </w:rPr>
        <w:t xml:space="preserve"> Порядка;</w:t>
      </w:r>
    </w:p>
    <w:p>
      <w:pPr>
        <w:pStyle w:val="0"/>
        <w:spacing w:before="240" w:lineRule="auto"/>
        <w:ind w:firstLine="540"/>
        <w:jc w:val="both"/>
      </w:pPr>
      <w:r>
        <w:rPr>
          <w:sz w:val="24"/>
        </w:rPr>
        <w:t xml:space="preserve">7) справки, подписанной участником отбора (иным уполномоченным лицом) и главным бухгалтером, с печатью (при наличии), подтверждающей отсутствие у участника отбора просроченной задолженности по возврату в бюджет Белгородской области субсидий, бюджетных инвестиций, предоставленных в соответствии с иными правовыми актами, и иной просроченной (неурегулированной) задолженности по денежным обязательствам перед бюджетом Белгородской области, по состоянию на дату не ранее 15 (пятнадцати) рабочих дней до даты подачи заявки;</w:t>
      </w:r>
    </w:p>
    <w:p>
      <w:pPr>
        <w:pStyle w:val="0"/>
        <w:spacing w:before="240" w:lineRule="auto"/>
        <w:ind w:firstLine="540"/>
        <w:jc w:val="both"/>
      </w:pPr>
      <w:r>
        <w:rPr>
          <w:sz w:val="24"/>
        </w:rPr>
        <w:t xml:space="preserve">8) описи представленных документов.</w:t>
      </w:r>
    </w:p>
    <w:p>
      <w:pPr>
        <w:pStyle w:val="0"/>
        <w:spacing w:before="240" w:lineRule="auto"/>
        <w:ind w:firstLine="540"/>
        <w:jc w:val="both"/>
      </w:pPr>
      <w:r>
        <w:rPr>
          <w:sz w:val="24"/>
        </w:rPr>
        <w:t xml:space="preserve">Участник отбора вправе не представлять документы, указанные в </w:t>
      </w:r>
      <w:hyperlink w:history="0" w:anchor="P134" w:tooltip="2) выписки из Единого государственного реестра юридических лиц (выписки из Единого государственного реестра индивидуальных предпринимателей) по состоянию на дату не ранее 15 (пятнадцати) рабочих дней до даты подачи заявки;">
        <w:r>
          <w:rPr>
            <w:sz w:val="24"/>
            <w:color w:val="0000ff"/>
          </w:rPr>
          <w:t xml:space="preserve">подпунктах 2</w:t>
        </w:r>
      </w:hyperlink>
      <w:r>
        <w:rPr>
          <w:sz w:val="24"/>
        </w:rPr>
        <w:t xml:space="preserve"> - </w:t>
      </w:r>
      <w:hyperlink w:history="0" w:anchor="P136" w:tooltip="4) справки налогового органа, подтверждающей отсутствие в реестре дисквалифицированных лиц сведений о дисквалифицированном руководителе, членах коллегиального исполнительного органа, лице, исполняющем функции единоличного исполнительного органа, или главном бухгалтере юридического лица, об индивидуальном предпринимателе, по состоянию на дату не ранее 15 (пятнадцати) рабочих дней до даты подачи заявки;">
        <w:r>
          <w:rPr>
            <w:sz w:val="24"/>
            <w:color w:val="0000ff"/>
          </w:rPr>
          <w:t xml:space="preserve">4</w:t>
        </w:r>
      </w:hyperlink>
      <w:r>
        <w:rPr>
          <w:sz w:val="24"/>
        </w:rPr>
        <w:t xml:space="preserve"> настоящего пункта. В случае непредставления участником отбора указанных документов по собственной инициативе центр занятости обеспечивает получение их и (или) информации, содержащейся в них, в базах данных налогового органа в порядке, установленном законодательством, в том числе в порядке межведомственного информационного взаимодействия.</w:t>
      </w:r>
    </w:p>
    <w:p>
      <w:pPr>
        <w:pStyle w:val="0"/>
        <w:spacing w:before="240" w:lineRule="auto"/>
        <w:ind w:firstLine="540"/>
        <w:jc w:val="both"/>
      </w:pPr>
      <w:r>
        <w:rPr>
          <w:sz w:val="24"/>
        </w:rPr>
        <w:t xml:space="preserve">Документы представляются в центр занятости на бумажном носителе в одном экземпляре лично лицом, имеющим право без доверенности действовать от имени юридического лица, индивидуальным предпринимателем либо представителем юридического лица, индивидуального предпринимателя на основании доверенности, оформленной в соответствии с требованиями законодательства Российской Федерации.</w:t>
      </w:r>
    </w:p>
    <w:p>
      <w:pPr>
        <w:pStyle w:val="0"/>
        <w:spacing w:before="240" w:lineRule="auto"/>
        <w:ind w:firstLine="540"/>
        <w:jc w:val="both"/>
      </w:pPr>
      <w:r>
        <w:rPr>
          <w:sz w:val="24"/>
        </w:rPr>
        <w:t xml:space="preserve">Представленные участником отбора документы не возвращаются.</w:t>
      </w:r>
    </w:p>
    <w:p>
      <w:pPr>
        <w:pStyle w:val="0"/>
        <w:spacing w:before="240" w:lineRule="auto"/>
        <w:ind w:firstLine="540"/>
        <w:jc w:val="both"/>
      </w:pPr>
      <w:r>
        <w:rPr>
          <w:sz w:val="24"/>
        </w:rPr>
        <w:t xml:space="preserve">Участник отбора несет ответственность за полноту и достоверность представляемых на рассмотрение центра занятости документов и сведений согласно законодательству.</w:t>
      </w:r>
    </w:p>
    <w:p>
      <w:pPr>
        <w:pStyle w:val="0"/>
        <w:spacing w:before="240" w:lineRule="auto"/>
        <w:ind w:firstLine="540"/>
        <w:jc w:val="both"/>
      </w:pPr>
      <w:r>
        <w:rPr>
          <w:sz w:val="24"/>
        </w:rPr>
        <w:t xml:space="preserve">Участник отбора вправе изменить или отозвать свою заявку до принятия центром занятости соответствующего решения, указанного в </w:t>
      </w:r>
      <w:hyperlink w:history="0" w:anchor="P153" w:tooltip="5) в течение 10 (десяти) рабочих дней со дня регистрации заявки принимает решение о признании участника отбора победителем отбора или об отклонении его заявки. Центр занятости вносит соответствующую запись в заявку участника отбора и журнал регистрации заявок. Решение о признании участника отбора победителем отбора или об отклонении его заявки утверждается приказом центра занятости.">
        <w:r>
          <w:rPr>
            <w:sz w:val="24"/>
            <w:color w:val="0000ff"/>
          </w:rPr>
          <w:t xml:space="preserve">подпункте 5 пункта 2.5 раздела 2</w:t>
        </w:r>
      </w:hyperlink>
      <w:r>
        <w:rPr>
          <w:sz w:val="24"/>
        </w:rPr>
        <w:t xml:space="preserve"> Порядка, путем подачи заявления. Заявление представляется в центр занятости на бумажном носителе в одном экземпляре лично лицом, имеющим право без доверенности действовать от имени юридического лица, индивидуальным предпринимателем либо представителем юридического лица, индивидуального предпринимателя на основании доверенности, оформленной в соответствии с требованиями законодательства Российской Федерации.</w:t>
      </w:r>
    </w:p>
    <w:p>
      <w:pPr>
        <w:pStyle w:val="0"/>
        <w:spacing w:before="240" w:lineRule="auto"/>
        <w:ind w:firstLine="540"/>
        <w:jc w:val="both"/>
      </w:pPr>
      <w:r>
        <w:rPr>
          <w:sz w:val="24"/>
        </w:rPr>
        <w:t xml:space="preserve">Участник отбора вправе обратиться в центр занятости за консультацией о разъяснении положений объявления о проведении отбора. Центр занятости дает данные разъяснения в устной форме.</w:t>
      </w:r>
    </w:p>
    <w:p>
      <w:pPr>
        <w:pStyle w:val="0"/>
        <w:jc w:val="both"/>
      </w:pPr>
      <w:r>
        <w:rPr>
          <w:sz w:val="24"/>
        </w:rPr>
        <w:t xml:space="preserve">(п. 2.4 в ред. </w:t>
      </w:r>
      <w:hyperlink w:history="0" r:id="rId33"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2.5. Центр занятости:</w:t>
      </w:r>
    </w:p>
    <w:p>
      <w:pPr>
        <w:pStyle w:val="0"/>
        <w:spacing w:before="240" w:lineRule="auto"/>
        <w:ind w:firstLine="540"/>
        <w:jc w:val="both"/>
      </w:pPr>
      <w:r>
        <w:rPr>
          <w:sz w:val="24"/>
        </w:rPr>
        <w:t xml:space="preserve">1) регистрирует заявки в день их поступления в порядке очередности (с указанием даты и времени поступления) в журнале регистрации заявок, который должен быть пронумерован, прошнурован и скреплен печатью центра занятости;</w:t>
      </w:r>
    </w:p>
    <w:p>
      <w:pPr>
        <w:pStyle w:val="0"/>
        <w:spacing w:before="240" w:lineRule="auto"/>
        <w:ind w:firstLine="540"/>
        <w:jc w:val="both"/>
      </w:pPr>
      <w:r>
        <w:rPr>
          <w:sz w:val="24"/>
        </w:rPr>
        <w:t xml:space="preserve">2) в случае непредставления участником отбора документов, указанных в </w:t>
      </w:r>
      <w:hyperlink w:history="0" w:anchor="P134" w:tooltip="2) выписки из Единого государственного реестра юридических лиц (выписки из Единого государственного реестра индивидуальных предпринимателей) по состоянию на дату не ранее 15 (пятнадцати) рабочих дней до даты подачи заявки;">
        <w:r>
          <w:rPr>
            <w:sz w:val="24"/>
            <w:color w:val="0000ff"/>
          </w:rPr>
          <w:t xml:space="preserve">подпунктах 2</w:t>
        </w:r>
      </w:hyperlink>
      <w:r>
        <w:rPr>
          <w:sz w:val="24"/>
        </w:rPr>
        <w:t xml:space="preserve"> - </w:t>
      </w:r>
      <w:hyperlink w:history="0" w:anchor="P136" w:tooltip="4) справки налогового органа, подтверждающей отсутствие в реестре дисквалифицированных лиц сведений о дисквалифицированном руководителе, членах коллегиального исполнительного органа, лице, исполняющем функции единоличного исполнительного органа, или главном бухгалтере юридического лица, об индивидуальном предпринимателе, по состоянию на дату не ранее 15 (пятнадцати) рабочих дней до даты подачи заявки;">
        <w:r>
          <w:rPr>
            <w:sz w:val="24"/>
            <w:color w:val="0000ff"/>
          </w:rPr>
          <w:t xml:space="preserve">4 пункта 2.4 раздела 2</w:t>
        </w:r>
      </w:hyperlink>
      <w:r>
        <w:rPr>
          <w:sz w:val="24"/>
        </w:rPr>
        <w:t xml:space="preserve"> Порядка, в течение 3 (трех) рабочих дней со дня регистрации заявки запрашивает документы и (или) информацию, содержащуюся в них, в базах данных налогового органа в порядке, установленном законодательством Российской Федерации, в том числе в порядке межведомственного информационного взаимодействия;</w:t>
      </w:r>
    </w:p>
    <w:p>
      <w:pPr>
        <w:pStyle w:val="0"/>
        <w:spacing w:before="240" w:lineRule="auto"/>
        <w:ind w:firstLine="540"/>
        <w:jc w:val="both"/>
      </w:pPr>
      <w:r>
        <w:rPr>
          <w:sz w:val="24"/>
        </w:rPr>
        <w:t xml:space="preserve">3) осуществляет рассмотрение документов, указанных в </w:t>
      </w:r>
      <w:hyperlink w:history="0" w:anchor="P132" w:tooltip="2.4. Для участия в отборе участник отбора представляет в центр занятости заявку по форме согласно приложению N 1 к Порядку, включающую согласие на обработку персональных данных (для физического лица), с приложением следующих документов:">
        <w:r>
          <w:rPr>
            <w:sz w:val="24"/>
            <w:color w:val="0000ff"/>
          </w:rPr>
          <w:t xml:space="preserve">пункте 2.4 раздела 2</w:t>
        </w:r>
      </w:hyperlink>
      <w:r>
        <w:rPr>
          <w:sz w:val="24"/>
        </w:rPr>
        <w:t xml:space="preserve"> Порядка, на предмет их комплектности, полноты и достоверности содержащейся в них информации, надлежащего оформления, а также проверяет соответствие участника отбора условиям и требованиям, установленным </w:t>
      </w:r>
      <w:hyperlink w:history="0" w:anchor="P121" w:tooltip="2.3. Требования к участнику отбора, которым он должен соответствовать на дату не ранее 15 (пятнадцати) рабочих дней до даты подачи заявки:">
        <w:r>
          <w:rPr>
            <w:sz w:val="24"/>
            <w:color w:val="0000ff"/>
          </w:rPr>
          <w:t xml:space="preserve">пунктом 2.3 раздела 2</w:t>
        </w:r>
      </w:hyperlink>
      <w:r>
        <w:rPr>
          <w:sz w:val="24"/>
        </w:rPr>
        <w:t xml:space="preserve"> Порядка;</w:t>
      </w:r>
    </w:p>
    <w:p>
      <w:pPr>
        <w:pStyle w:val="0"/>
        <w:spacing w:before="240" w:lineRule="auto"/>
        <w:ind w:firstLine="540"/>
        <w:jc w:val="both"/>
      </w:pPr>
      <w:r>
        <w:rPr>
          <w:sz w:val="24"/>
        </w:rPr>
        <w:t xml:space="preserve">4) представляет в Министерство в течение 1 (одного) рабочего дня после поступления в центр занятости заявки информацию об участниках отбора с приложением заявок и пояснительных записок участников отбора;</w:t>
      </w:r>
    </w:p>
    <w:bookmarkStart w:id="153" w:name="P153"/>
    <w:bookmarkEnd w:id="153"/>
    <w:p>
      <w:pPr>
        <w:pStyle w:val="0"/>
        <w:spacing w:before="240" w:lineRule="auto"/>
        <w:ind w:firstLine="540"/>
        <w:jc w:val="both"/>
      </w:pPr>
      <w:r>
        <w:rPr>
          <w:sz w:val="24"/>
        </w:rPr>
        <w:t xml:space="preserve">5) в течение 10 (десяти) рабочих дней со дня регистрации заявки принимает решение о признании участника отбора победителем отбора или об отклонении его заявки. Центр занятости вносит соответствующую запись в заявку участника отбора и журнал регистрации заявок. Решение о признании участника отбора победителем отбора или об отклонении его заявки утверждается приказом центра занятости.</w:t>
      </w:r>
    </w:p>
    <w:p>
      <w:pPr>
        <w:pStyle w:val="0"/>
        <w:spacing w:before="240" w:lineRule="auto"/>
        <w:ind w:firstLine="540"/>
        <w:jc w:val="both"/>
      </w:pPr>
      <w:r>
        <w:rPr>
          <w:sz w:val="24"/>
        </w:rPr>
        <w:t xml:space="preserve">Прошедшими отбор признаются участники отбора, которым могут быть предоставлены субсидии в размерах, определяемых в соответствии с </w:t>
      </w:r>
      <w:hyperlink w:history="0" w:anchor="P232" w:tooltip="3.6. Размер субсидии, предоставляемой получателю субсидии, определяется центром занятости в пределах бюджетных ассигнований и лимитов бюджетных обязательств, выделенных центру занятости на текущий финансовый год, согласно расчетам, указанным в смете расходов, по формуле:">
        <w:r>
          <w:rPr>
            <w:sz w:val="24"/>
            <w:color w:val="0000ff"/>
          </w:rPr>
          <w:t xml:space="preserve">пунктом 3.6 раздела 3</w:t>
        </w:r>
      </w:hyperlink>
      <w:r>
        <w:rPr>
          <w:sz w:val="24"/>
        </w:rPr>
        <w:t xml:space="preserve"> Порядка и очередностью, определяемой датой и временем регистрации центром занятости поступивших заявок, до исчерпания лимита бюджетных обязательств, доведенного центру занятости на предоставление субсидий на цель, указанную в </w:t>
      </w:r>
      <w:hyperlink w:history="0" w:anchor="P71" w:tooltip="1.2. Целью предоставления субсидии является финансовое обеспечение (возмещение)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далее соответственно - профессиональное обучение, работники, граждане).">
        <w:r>
          <w:rPr>
            <w:sz w:val="24"/>
            <w:color w:val="0000ff"/>
          </w:rPr>
          <w:t xml:space="preserve">пункте 1.2 раздела 1</w:t>
        </w:r>
      </w:hyperlink>
      <w:r>
        <w:rPr>
          <w:sz w:val="24"/>
        </w:rPr>
        <w:t xml:space="preserve"> Порядка. При этом в очереди не учитываются заявки, отклоненные центром занятости по основаниям, установленным </w:t>
      </w:r>
      <w:hyperlink w:history="0" w:anchor="P162" w:tooltip="2.7. В случае принятия решения об отклонении заявки участника отбора в течение 3 (трех) рабочих дней со дня принятия такого решения направляется участнику отбора уведомление об отклонении заявки с указанием одной или нескольких причин:">
        <w:r>
          <w:rPr>
            <w:sz w:val="24"/>
            <w:color w:val="0000ff"/>
          </w:rPr>
          <w:t xml:space="preserve">пунктом 2.7 раздела 2</w:t>
        </w:r>
      </w:hyperlink>
      <w:r>
        <w:rPr>
          <w:sz w:val="24"/>
        </w:rPr>
        <w:t xml:space="preserve"> Порядка.</w:t>
      </w:r>
    </w:p>
    <w:p>
      <w:pPr>
        <w:pStyle w:val="0"/>
        <w:spacing w:before="240" w:lineRule="auto"/>
        <w:ind w:firstLine="540"/>
        <w:jc w:val="both"/>
      </w:pPr>
      <w:r>
        <w:rPr>
          <w:sz w:val="24"/>
        </w:rPr>
        <w:t xml:space="preserve">В случае недостаточности лимита бюджетных обязательств для предоставления участникам отбора субсидий в размере, определяемом в соответствии с </w:t>
      </w:r>
      <w:hyperlink w:history="0" w:anchor="P232" w:tooltip="3.6. Размер субсидии, предоставляемой получателю субсидии, определяется центром занятости в пределах бюджетных ассигнований и лимитов бюджетных обязательств, выделенных центру занятости на текущий финансовый год, согласно расчетам, указанным в смете расходов, по формуле:">
        <w:r>
          <w:rPr>
            <w:sz w:val="24"/>
            <w:color w:val="0000ff"/>
          </w:rPr>
          <w:t xml:space="preserve">пунктом 3.6 раздела 3</w:t>
        </w:r>
      </w:hyperlink>
      <w:r>
        <w:rPr>
          <w:sz w:val="24"/>
        </w:rPr>
        <w:t xml:space="preserve"> Порядка, в полном объеме участник отбора с его согласия признается прошедшим отбор в пределах остатка лимита бюджетных обязательств. В случае отказа участника отбора от признания его победителем в пределах остатка лимита бюджетных обязательств рассматривается следующая заявка в порядке очередности.</w:t>
      </w:r>
    </w:p>
    <w:p>
      <w:pPr>
        <w:pStyle w:val="0"/>
        <w:jc w:val="both"/>
      </w:pPr>
      <w:r>
        <w:rPr>
          <w:sz w:val="24"/>
        </w:rPr>
        <w:t xml:space="preserve">(п. 2.5 в ред. </w:t>
      </w:r>
      <w:hyperlink w:history="0" r:id="rId34"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2.6. В случае ненадлежащего оформления документов центр занятости возвращает их для устранения выявленных недостатков в течение 3 (трех) рабочих дней со дня регистрации заявки.</w:t>
      </w:r>
    </w:p>
    <w:p>
      <w:pPr>
        <w:pStyle w:val="0"/>
        <w:spacing w:before="240" w:lineRule="auto"/>
        <w:ind w:firstLine="540"/>
        <w:jc w:val="both"/>
      </w:pPr>
      <w:r>
        <w:rPr>
          <w:sz w:val="24"/>
        </w:rPr>
        <w:t xml:space="preserve">Уведомление о возврате документов передается лично уполномоченному лицу участника отбора.</w:t>
      </w:r>
    </w:p>
    <w:p>
      <w:pPr>
        <w:pStyle w:val="0"/>
        <w:jc w:val="both"/>
      </w:pPr>
      <w:r>
        <w:rPr>
          <w:sz w:val="24"/>
        </w:rPr>
        <w:t xml:space="preserve">(в ред. </w:t>
      </w:r>
      <w:hyperlink w:history="0" r:id="rId35"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Срок устранения участником отбора недостатков составляет 5 (пять) рабочих дней со дня получения участником отбора указанного уведомления.</w:t>
      </w:r>
    </w:p>
    <w:p>
      <w:pPr>
        <w:pStyle w:val="0"/>
        <w:spacing w:before="240" w:lineRule="auto"/>
        <w:ind w:firstLine="540"/>
        <w:jc w:val="both"/>
      </w:pPr>
      <w:r>
        <w:rPr>
          <w:sz w:val="24"/>
        </w:rPr>
        <w:t xml:space="preserve">Срок повторного рассмотрения представленных документов, указанных в </w:t>
      </w:r>
      <w:hyperlink w:history="0" w:anchor="P132" w:tooltip="2.4. Для участия в отборе участник отбора представляет в центр занятости заявку по форме согласно приложению N 1 к Порядку, включающую согласие на обработку персональных данных (для физического лица), с приложением следующих документов:">
        <w:r>
          <w:rPr>
            <w:sz w:val="24"/>
            <w:color w:val="0000ff"/>
          </w:rPr>
          <w:t xml:space="preserve">пункте 2.4 раздела 2</w:t>
        </w:r>
      </w:hyperlink>
      <w:r>
        <w:rPr>
          <w:sz w:val="24"/>
        </w:rPr>
        <w:t xml:space="preserve"> Порядка, составляет 3 (три) рабочих дня со дня поступления документов в центр занятости в соответствии с Порядком.</w:t>
      </w:r>
    </w:p>
    <w:bookmarkStart w:id="162" w:name="P162"/>
    <w:bookmarkEnd w:id="162"/>
    <w:p>
      <w:pPr>
        <w:pStyle w:val="0"/>
        <w:spacing w:before="240" w:lineRule="auto"/>
        <w:ind w:firstLine="540"/>
        <w:jc w:val="both"/>
      </w:pPr>
      <w:r>
        <w:rPr>
          <w:sz w:val="24"/>
        </w:rPr>
        <w:t xml:space="preserve">2.7. В случае принятия решения об отклонении заявки участника отбора в течение 3 (трех) рабочих дней со дня принятия такого решения направляется участнику отбора уведомление об отклонении заявки с указанием одной или нескольких причин:</w:t>
      </w:r>
    </w:p>
    <w:p>
      <w:pPr>
        <w:pStyle w:val="0"/>
        <w:spacing w:before="240" w:lineRule="auto"/>
        <w:ind w:firstLine="540"/>
        <w:jc w:val="both"/>
      </w:pPr>
      <w:r>
        <w:rPr>
          <w:sz w:val="24"/>
        </w:rPr>
        <w:t xml:space="preserve">1) несоответствие участника отбора условиям и требованиям, установленным </w:t>
      </w:r>
      <w:hyperlink w:history="0" w:anchor="P91" w:tooltip="1.7. Критерии отбора работодателей, имеющих право на получение субсидии:">
        <w:r>
          <w:rPr>
            <w:sz w:val="24"/>
            <w:color w:val="0000ff"/>
          </w:rPr>
          <w:t xml:space="preserve">пунктом 1.7 раздела 1</w:t>
        </w:r>
      </w:hyperlink>
      <w:r>
        <w:rPr>
          <w:sz w:val="24"/>
        </w:rPr>
        <w:t xml:space="preserve"> и </w:t>
      </w:r>
      <w:hyperlink w:history="0" w:anchor="P121" w:tooltip="2.3. Требования к участнику отбора, которым он должен соответствовать на дату не ранее 15 (пятнадцати) рабочих дней до даты подачи заявки:">
        <w:r>
          <w:rPr>
            <w:sz w:val="24"/>
            <w:color w:val="0000ff"/>
          </w:rPr>
          <w:t xml:space="preserve">пунктом 2.3 раздела 2</w:t>
        </w:r>
      </w:hyperlink>
      <w:r>
        <w:rPr>
          <w:sz w:val="24"/>
        </w:rPr>
        <w:t xml:space="preserve"> Порядка;</w:t>
      </w:r>
    </w:p>
    <w:p>
      <w:pPr>
        <w:pStyle w:val="0"/>
        <w:spacing w:before="240" w:lineRule="auto"/>
        <w:ind w:firstLine="540"/>
        <w:jc w:val="both"/>
      </w:pPr>
      <w:r>
        <w:rPr>
          <w:sz w:val="24"/>
        </w:rPr>
        <w:t xml:space="preserve">2) недостоверность представленной участником отбора информации, в том числе информации о местонахождении и адресе участника отбора;</w:t>
      </w:r>
    </w:p>
    <w:p>
      <w:pPr>
        <w:pStyle w:val="0"/>
        <w:spacing w:before="240" w:lineRule="auto"/>
        <w:ind w:firstLine="540"/>
        <w:jc w:val="both"/>
      </w:pPr>
      <w:r>
        <w:rPr>
          <w:sz w:val="24"/>
        </w:rPr>
        <w:t xml:space="preserve">3) подача участником отбора заявки после даты и (или) времени, определенных для подачи заявок;</w:t>
      </w:r>
    </w:p>
    <w:p>
      <w:pPr>
        <w:pStyle w:val="0"/>
        <w:spacing w:before="240" w:lineRule="auto"/>
        <w:ind w:firstLine="540"/>
        <w:jc w:val="both"/>
      </w:pPr>
      <w:r>
        <w:rPr>
          <w:sz w:val="24"/>
        </w:rPr>
        <w:t xml:space="preserve">4) несоответствие представленных участником отбора документов требованиям, определенным </w:t>
      </w:r>
      <w:hyperlink w:history="0" w:anchor="P132" w:tooltip="2.4. Для участия в отборе участник отбора представляет в центр занятости заявку по форме согласно приложению N 1 к Порядку, включающую согласие на обработку персональных данных (для физического лица), с приложением следующих документов:">
        <w:r>
          <w:rPr>
            <w:sz w:val="24"/>
            <w:color w:val="0000ff"/>
          </w:rPr>
          <w:t xml:space="preserve">пунктом 2.4 раздела 2</w:t>
        </w:r>
      </w:hyperlink>
      <w:r>
        <w:rPr>
          <w:sz w:val="24"/>
        </w:rPr>
        <w:t xml:space="preserve"> Порядка, или непредставление (представление не в полном объеме) указанных документов, за исключением документов, запрашиваемых в порядке межведомственного информационного взаимодействия;</w:t>
      </w:r>
    </w:p>
    <w:p>
      <w:pPr>
        <w:pStyle w:val="0"/>
        <w:spacing w:before="240" w:lineRule="auto"/>
        <w:ind w:firstLine="540"/>
        <w:jc w:val="both"/>
      </w:pPr>
      <w:r>
        <w:rPr>
          <w:sz w:val="24"/>
        </w:rPr>
        <w:t xml:space="preserve">5) превышение лимитов бюджетных обязательств, доведенных центру занятости на текущий финансовый год на цель, указанную в </w:t>
      </w:r>
      <w:hyperlink w:history="0" w:anchor="P71" w:tooltip="1.2. Целью предоставления субсидии является финансовое обеспечение (возмещение)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далее соответственно - профессиональное обучение, работники, граждане).">
        <w:r>
          <w:rPr>
            <w:sz w:val="24"/>
            <w:color w:val="0000ff"/>
          </w:rPr>
          <w:t xml:space="preserve">первом абзаце пункта 1.2 раздела 1</w:t>
        </w:r>
      </w:hyperlink>
      <w:r>
        <w:rPr>
          <w:sz w:val="24"/>
        </w:rPr>
        <w:t xml:space="preserve"> Порядка.</w:t>
      </w:r>
    </w:p>
    <w:p>
      <w:pPr>
        <w:pStyle w:val="0"/>
        <w:spacing w:before="240" w:lineRule="auto"/>
        <w:ind w:firstLine="540"/>
        <w:jc w:val="both"/>
      </w:pPr>
      <w:r>
        <w:rPr>
          <w:sz w:val="24"/>
        </w:rPr>
        <w:t xml:space="preserve">Уведомление об отклонении заявки передается лично уполномоченному лицу участника отбора.</w:t>
      </w:r>
    </w:p>
    <w:p>
      <w:pPr>
        <w:pStyle w:val="0"/>
        <w:spacing w:before="240" w:lineRule="auto"/>
        <w:ind w:firstLine="540"/>
        <w:jc w:val="both"/>
      </w:pPr>
      <w:r>
        <w:rPr>
          <w:sz w:val="24"/>
        </w:rPr>
        <w:t xml:space="preserve">Участник отбора в случае получения уведомления об отклонении заявки после устранения оснований для отклонения заявки вправе повторно представить ее и соответствующие документы в течение срока проведения отбора в соответствии с Порядком.</w:t>
      </w:r>
    </w:p>
    <w:p>
      <w:pPr>
        <w:pStyle w:val="0"/>
        <w:jc w:val="both"/>
      </w:pPr>
      <w:r>
        <w:rPr>
          <w:sz w:val="24"/>
        </w:rPr>
        <w:t xml:space="preserve">(п. 2.7 в ред. </w:t>
      </w:r>
      <w:hyperlink w:history="0" r:id="rId36"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2.8. В случае принятия решения о признании участника отбора победителем отбора центр занятости:</w:t>
      </w:r>
    </w:p>
    <w:p>
      <w:pPr>
        <w:pStyle w:val="0"/>
        <w:spacing w:before="240" w:lineRule="auto"/>
        <w:ind w:firstLine="540"/>
        <w:jc w:val="both"/>
      </w:pPr>
      <w:r>
        <w:rPr>
          <w:sz w:val="24"/>
        </w:rPr>
        <w:t xml:space="preserve">1) в течение 3 (трех) рабочих дней со дня принятия такого решения передает лично уполномоченному лицу победителя отбора уведомление о прохождении отбора на бумажном носителе;</w:t>
      </w:r>
    </w:p>
    <w:p>
      <w:pPr>
        <w:pStyle w:val="0"/>
        <w:spacing w:before="240" w:lineRule="auto"/>
        <w:ind w:firstLine="540"/>
        <w:jc w:val="both"/>
      </w:pPr>
      <w:r>
        <w:rPr>
          <w:sz w:val="24"/>
        </w:rPr>
        <w:t xml:space="preserve">2) представляет в Министерство в течение 1 (одного) рабочего дня со дня принятия такого решения информацию, содержащую:</w:t>
      </w:r>
    </w:p>
    <w:p>
      <w:pPr>
        <w:pStyle w:val="0"/>
        <w:spacing w:before="240" w:lineRule="auto"/>
        <w:ind w:firstLine="540"/>
        <w:jc w:val="both"/>
      </w:pPr>
      <w:r>
        <w:rPr>
          <w:sz w:val="24"/>
        </w:rPr>
        <w:t xml:space="preserve">- дату, время и место рассмотрения заявок;</w:t>
      </w:r>
    </w:p>
    <w:p>
      <w:pPr>
        <w:pStyle w:val="0"/>
        <w:spacing w:before="240" w:lineRule="auto"/>
        <w:ind w:firstLine="540"/>
        <w:jc w:val="both"/>
      </w:pPr>
      <w:r>
        <w:rPr>
          <w:sz w:val="24"/>
        </w:rPr>
        <w:t xml:space="preserve">- информацию об участниках отбора, заявки которых были рассмотрены;</w:t>
      </w:r>
    </w:p>
    <w:p>
      <w:pPr>
        <w:pStyle w:val="0"/>
        <w:spacing w:before="240" w:lineRule="auto"/>
        <w:ind w:firstLine="540"/>
        <w:jc w:val="both"/>
      </w:pPr>
      <w:r>
        <w:rPr>
          <w:sz w:val="24"/>
        </w:rPr>
        <w:t xml:space="preserve">-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pPr>
        <w:pStyle w:val="0"/>
        <w:spacing w:before="240" w:lineRule="auto"/>
        <w:ind w:firstLine="540"/>
        <w:jc w:val="both"/>
      </w:pPr>
      <w:r>
        <w:rPr>
          <w:sz w:val="24"/>
        </w:rPr>
        <w:t xml:space="preserve">- наименование (наименования) победителя (победителей) отбора, с которым (которыми) заключается (заключаются) договор (соглашение) (договоры (соглашения)), и размер предоставляемой субсидии;</w:t>
      </w:r>
    </w:p>
    <w:bookmarkStart w:id="178" w:name="P178"/>
    <w:bookmarkEnd w:id="178"/>
    <w:p>
      <w:pPr>
        <w:pStyle w:val="0"/>
        <w:spacing w:before="240" w:lineRule="auto"/>
        <w:ind w:firstLine="540"/>
        <w:jc w:val="both"/>
      </w:pPr>
      <w:r>
        <w:rPr>
          <w:sz w:val="24"/>
        </w:rPr>
        <w:t xml:space="preserve">3) в течение 10 (десяти) рабочих дней со дня принятия такого решения заключает с победителем отбора договор (соглашение) в соответствии с типовой формой,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который (которое) должен (должно) содержать:</w:t>
      </w:r>
    </w:p>
    <w:p>
      <w:pPr>
        <w:pStyle w:val="0"/>
        <w:spacing w:before="240" w:lineRule="auto"/>
        <w:ind w:firstLine="540"/>
        <w:jc w:val="both"/>
      </w:pPr>
      <w:r>
        <w:rPr>
          <w:sz w:val="24"/>
        </w:rPr>
        <w:t xml:space="preserve">а) цель, условия, размер и порядок предоставления субсидии;</w:t>
      </w:r>
    </w:p>
    <w:p>
      <w:pPr>
        <w:pStyle w:val="0"/>
        <w:spacing w:before="240" w:lineRule="auto"/>
        <w:ind w:firstLine="540"/>
        <w:jc w:val="both"/>
      </w:pPr>
      <w:r>
        <w:rPr>
          <w:sz w:val="24"/>
        </w:rPr>
        <w:t xml:space="preserve">б) сроки перечисления субсидии;</w:t>
      </w:r>
    </w:p>
    <w:p>
      <w:pPr>
        <w:pStyle w:val="0"/>
        <w:spacing w:before="240" w:lineRule="auto"/>
        <w:ind w:firstLine="540"/>
        <w:jc w:val="both"/>
      </w:pPr>
      <w:r>
        <w:rPr>
          <w:sz w:val="24"/>
        </w:rPr>
        <w:t xml:space="preserve">в) плановые значения результата предоставления субсидии и показателя, необходимого для достижения результата предоставления субсидии;</w:t>
      </w:r>
    </w:p>
    <w:p>
      <w:pPr>
        <w:pStyle w:val="0"/>
        <w:spacing w:before="240" w:lineRule="auto"/>
        <w:ind w:firstLine="540"/>
        <w:jc w:val="both"/>
      </w:pPr>
      <w:r>
        <w:rPr>
          <w:sz w:val="24"/>
        </w:rPr>
        <w:t xml:space="preserve">г) основания и порядок внесения изменений в договор (соглашение), в том числе в случае уменьшения Министерству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договоре (соглашении), условия о согласовании новых условий договора (соглашения) или о расторжении договора (соглашения) при недостижении согласия по новым условиям;</w:t>
      </w:r>
    </w:p>
    <w:p>
      <w:pPr>
        <w:pStyle w:val="0"/>
        <w:spacing w:before="240" w:lineRule="auto"/>
        <w:ind w:firstLine="540"/>
        <w:jc w:val="both"/>
      </w:pPr>
      <w:r>
        <w:rPr>
          <w:sz w:val="24"/>
        </w:rPr>
        <w:t xml:space="preserve">д) согласие получателя субсидии,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Министерством, центром занятости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3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статьями 268.1</w:t>
        </w:r>
      </w:hyperlink>
      <w:r>
        <w:rPr>
          <w:sz w:val="24"/>
        </w:rPr>
        <w:t xml:space="preserve"> и </w:t>
      </w:r>
      <w:hyperlink w:history="0" r:id="rId3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269.2</w:t>
        </w:r>
      </w:hyperlink>
      <w:r>
        <w:rPr>
          <w:sz w:val="24"/>
        </w:rPr>
        <w:t xml:space="preserve"> Бюджетного кодекса Российской Федерации, в том числе соблюдения получателем субсидии порядка и условий предоставления субсидии;</w:t>
      </w:r>
    </w:p>
    <w:p>
      <w:pPr>
        <w:pStyle w:val="0"/>
        <w:spacing w:before="240" w:lineRule="auto"/>
        <w:ind w:firstLine="540"/>
        <w:jc w:val="both"/>
      </w:pPr>
      <w:r>
        <w:rPr>
          <w:sz w:val="24"/>
        </w:rPr>
        <w:t xml:space="preserve">е) порядок, формы и сроки представления в центр занятости отчетности о достижении значений результата предоставления субсидии и показателя, необходимого для достижения результата предоставления субсидии;</w:t>
      </w:r>
    </w:p>
    <w:p>
      <w:pPr>
        <w:pStyle w:val="0"/>
        <w:spacing w:before="240" w:lineRule="auto"/>
        <w:ind w:firstLine="540"/>
        <w:jc w:val="both"/>
      </w:pPr>
      <w:r>
        <w:rPr>
          <w:sz w:val="24"/>
        </w:rPr>
        <w:t xml:space="preserve">ж) положения об осуществлении Министерством, центром занятости в отношении получателя субсидии, а также лиц, получающих средства на основании договоров,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проверок соблюдения им порядка и условий предоставления субсидии, в том числе в части достижения результата предоставления субсидии, а также об осуществлении органами государственного финансового контроля проверок в соответствии со </w:t>
      </w:r>
      <w:hyperlink w:history="0" r:id="rId3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статьями 268.1</w:t>
        </w:r>
      </w:hyperlink>
      <w:r>
        <w:rPr>
          <w:sz w:val="24"/>
        </w:rPr>
        <w:t xml:space="preserve"> и </w:t>
      </w:r>
      <w:hyperlink w:history="0" r:id="rId4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269.2</w:t>
        </w:r>
      </w:hyperlink>
      <w:r>
        <w:rPr>
          <w:sz w:val="24"/>
        </w:rPr>
        <w:t xml:space="preserve"> Бюджетного кодекса Российской Федерации, в том числе соблюдения порядка и условий предоставления субсидии;</w:t>
      </w:r>
    </w:p>
    <w:p>
      <w:pPr>
        <w:pStyle w:val="0"/>
        <w:spacing w:before="240" w:lineRule="auto"/>
        <w:ind w:firstLine="540"/>
        <w:jc w:val="both"/>
      </w:pPr>
      <w:r>
        <w:rPr>
          <w:sz w:val="24"/>
        </w:rPr>
        <w:t xml:space="preserve">з) запрет приобретения получателями субсидий - юридическими лицами, индивидуальными предпринимателями, а также иными юридическими лицами, получающими средства на основании договоров (соглашений), заключенных с получателями субсидий, за счет полученных из бюджета Белгородской области средств иностранной валюты.</w:t>
      </w:r>
    </w:p>
    <w:p>
      <w:pPr>
        <w:pStyle w:val="0"/>
        <w:spacing w:before="240" w:lineRule="auto"/>
        <w:ind w:firstLine="540"/>
        <w:jc w:val="both"/>
      </w:pPr>
      <w:r>
        <w:rPr>
          <w:sz w:val="24"/>
        </w:rPr>
        <w:t xml:space="preserve">При заключении договора (соглашения) в целях финансового обеспечения затрат работодателя центр занятости вправе предусматривать условие о предоставлении авансирования финансового обеспечения (возмещения) затрат в объеме до 100 процентов.</w:t>
      </w:r>
    </w:p>
    <w:p>
      <w:pPr>
        <w:pStyle w:val="0"/>
        <w:spacing w:before="240" w:lineRule="auto"/>
        <w:ind w:firstLine="540"/>
        <w:jc w:val="both"/>
      </w:pPr>
      <w:r>
        <w:rPr>
          <w:sz w:val="24"/>
        </w:rPr>
        <w:t xml:space="preserve">Внесение изменений в договор (соглашение) возможно путем заключения дополнительного соглашения к договору (соглашению), в том числе дополнительного соглашения о расторжении договора (соглашения) (при необходимости), в соответствии с типовой формой, установленной Министерством финансов Российской Федерации.</w:t>
      </w:r>
    </w:p>
    <w:p>
      <w:pPr>
        <w:pStyle w:val="0"/>
        <w:spacing w:before="240" w:lineRule="auto"/>
        <w:ind w:firstLine="540"/>
        <w:jc w:val="both"/>
      </w:pPr>
      <w:r>
        <w:rPr>
          <w:sz w:val="24"/>
        </w:rPr>
        <w:t xml:space="preserve">В случае неподписания договора (соглашения) в срок, указанный в </w:t>
      </w:r>
      <w:hyperlink w:history="0" w:anchor="P178" w:tooltip="3) в течение 10 (десяти) рабочих дней со дня принятия такого решения заключает с победителем отбора договор (соглашение) в соответствии с типовой формой,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quot;Электронный бюджет&quot;, который (которое) должен (должно) содержать:">
        <w:r>
          <w:rPr>
            <w:sz w:val="24"/>
            <w:color w:val="0000ff"/>
          </w:rPr>
          <w:t xml:space="preserve">первом абзаце подпункта 3 пункта 2.8 раздела 2</w:t>
        </w:r>
      </w:hyperlink>
      <w:r>
        <w:rPr>
          <w:sz w:val="24"/>
        </w:rPr>
        <w:t xml:space="preserve"> Порядка, победитель отбора признается уклонившимся от подписания договора (соглашения) и в течение следующих 3 (трех) рабочих дней его уполномоченному лицу лично передается уведомление об отказе в заключении договора (соглашения).</w:t>
      </w:r>
    </w:p>
    <w:p>
      <w:pPr>
        <w:pStyle w:val="0"/>
        <w:jc w:val="both"/>
      </w:pPr>
      <w:r>
        <w:rPr>
          <w:sz w:val="24"/>
        </w:rPr>
        <w:t xml:space="preserve">(п. 2.8 в ред. </w:t>
      </w:r>
      <w:hyperlink w:history="0" r:id="rId41"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jc w:val="both"/>
      </w:pPr>
      <w:r>
        <w:rPr>
          <w:sz w:val="24"/>
        </w:rPr>
      </w:r>
    </w:p>
    <w:p>
      <w:pPr>
        <w:pStyle w:val="2"/>
        <w:outlineLvl w:val="1"/>
        <w:jc w:val="center"/>
      </w:pPr>
      <w:r>
        <w:rPr>
          <w:sz w:val="24"/>
        </w:rPr>
        <w:t xml:space="preserve">3. Условия и порядок предоставления субсидий</w:t>
      </w:r>
    </w:p>
    <w:p>
      <w:pPr>
        <w:pStyle w:val="0"/>
        <w:jc w:val="both"/>
      </w:pPr>
      <w:r>
        <w:rPr>
          <w:sz w:val="24"/>
        </w:rPr>
      </w:r>
    </w:p>
    <w:p>
      <w:pPr>
        <w:pStyle w:val="0"/>
        <w:ind w:firstLine="540"/>
        <w:jc w:val="both"/>
      </w:pPr>
      <w:r>
        <w:rPr>
          <w:sz w:val="24"/>
        </w:rPr>
        <w:t xml:space="preserve">3.1. Условиями предоставления субсидии являются:</w:t>
      </w:r>
    </w:p>
    <w:p>
      <w:pPr>
        <w:pStyle w:val="0"/>
        <w:spacing w:before="240" w:lineRule="auto"/>
        <w:ind w:firstLine="540"/>
        <w:jc w:val="both"/>
      </w:pPr>
      <w:r>
        <w:rPr>
          <w:sz w:val="24"/>
        </w:rPr>
        <w:t xml:space="preserve">1) принятие центром занятости решения о признании участника отбора победителем отбора;</w:t>
      </w:r>
    </w:p>
    <w:p>
      <w:pPr>
        <w:pStyle w:val="0"/>
        <w:spacing w:before="240" w:lineRule="auto"/>
        <w:ind w:firstLine="540"/>
        <w:jc w:val="both"/>
      </w:pPr>
      <w:r>
        <w:rPr>
          <w:sz w:val="24"/>
        </w:rPr>
        <w:t xml:space="preserve">2) наличие договора (соглашения), заключенного между центром занятости и победителем отбора;</w:t>
      </w:r>
    </w:p>
    <w:p>
      <w:pPr>
        <w:pStyle w:val="0"/>
        <w:spacing w:before="240" w:lineRule="auto"/>
        <w:ind w:firstLine="540"/>
        <w:jc w:val="both"/>
      </w:pPr>
      <w:r>
        <w:rPr>
          <w:sz w:val="24"/>
        </w:rPr>
        <w:t xml:space="preserve">3) представление в центр занятости победителем отбора заверенных им документов, указанных в </w:t>
      </w:r>
      <w:hyperlink w:history="0" w:anchor="P206" w:tooltip="3.2. Победитель отбора в течение 5 (пяти) рабочих дней со дня подписания договора (соглашения) о предоставлении субсидии представляет в центр занятости заявление о предоставлении субсидии, подписанное лицом, имеющим право без доверенности действовать от имени юридического лица, индивидуальным предпринимателем либо представителем юридического лица, индивидуального предпринимателя на основании доверенности, оформленной в соответствии с требованиями законодательства Российской Федерации (далее - заявление),...">
        <w:r>
          <w:rPr>
            <w:sz w:val="24"/>
            <w:color w:val="0000ff"/>
          </w:rPr>
          <w:t xml:space="preserve">пункте 3.2 раздела 3</w:t>
        </w:r>
      </w:hyperlink>
      <w:r>
        <w:rPr>
          <w:sz w:val="24"/>
        </w:rPr>
        <w:t xml:space="preserve"> Порядка;</w:t>
      </w:r>
    </w:p>
    <w:p>
      <w:pPr>
        <w:pStyle w:val="0"/>
        <w:spacing w:before="240" w:lineRule="auto"/>
        <w:ind w:firstLine="540"/>
        <w:jc w:val="both"/>
      </w:pPr>
      <w:r>
        <w:rPr>
          <w:sz w:val="24"/>
        </w:rPr>
        <w:t xml:space="preserve">4) принятие центром занятости решения о предоставлении субсидии победителю отбора, утвержденного приказом центра занятости;</w:t>
      </w:r>
    </w:p>
    <w:p>
      <w:pPr>
        <w:pStyle w:val="0"/>
        <w:jc w:val="both"/>
      </w:pPr>
      <w:r>
        <w:rPr>
          <w:sz w:val="24"/>
        </w:rPr>
        <w:t xml:space="preserve">(в ред. </w:t>
      </w:r>
      <w:hyperlink w:history="0" r:id="rId42"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bookmarkStart w:id="200" w:name="P200"/>
    <w:bookmarkEnd w:id="200"/>
    <w:p>
      <w:pPr>
        <w:pStyle w:val="0"/>
        <w:spacing w:before="240" w:lineRule="auto"/>
        <w:ind w:firstLine="540"/>
        <w:jc w:val="both"/>
      </w:pPr>
      <w:r>
        <w:rPr>
          <w:sz w:val="24"/>
        </w:rPr>
        <w:t xml:space="preserve">5) наличие договора, подписанного между победителем отбора и образовательными организациями для проведения профессионального обучения (в случае обучения в специализированном структурном образовательном подразделении издается соответствующий приказ);</w:t>
      </w:r>
    </w:p>
    <w:p>
      <w:pPr>
        <w:pStyle w:val="0"/>
        <w:jc w:val="both"/>
      </w:pPr>
      <w:r>
        <w:rPr>
          <w:sz w:val="24"/>
        </w:rPr>
        <w:t xml:space="preserve">(пп. 5 введен </w:t>
      </w:r>
      <w:hyperlink w:history="0" r:id="rId43"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постановлением</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6) наличие ученических договоров с гражданами, направляемыми на профессиональное обучение;</w:t>
      </w:r>
    </w:p>
    <w:p>
      <w:pPr>
        <w:pStyle w:val="0"/>
        <w:jc w:val="both"/>
      </w:pPr>
      <w:r>
        <w:rPr>
          <w:sz w:val="24"/>
        </w:rPr>
        <w:t xml:space="preserve">(пп. 6 введен </w:t>
      </w:r>
      <w:hyperlink w:history="0" r:id="rId44"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постановлением</w:t>
        </w:r>
      </w:hyperlink>
      <w:r>
        <w:rPr>
          <w:sz w:val="24"/>
        </w:rPr>
        <w:t xml:space="preserve"> Правительства Белгородской области от 29.05.2023 N 295-пп)</w:t>
      </w:r>
    </w:p>
    <w:bookmarkStart w:id="204" w:name="P204"/>
    <w:bookmarkEnd w:id="204"/>
    <w:p>
      <w:pPr>
        <w:pStyle w:val="0"/>
        <w:spacing w:before="240" w:lineRule="auto"/>
        <w:ind w:firstLine="540"/>
        <w:jc w:val="both"/>
      </w:pPr>
      <w:r>
        <w:rPr>
          <w:sz w:val="24"/>
        </w:rPr>
        <w:t xml:space="preserve">7) наличие приказа о направлении работников и граждан на профессиональное обучение.</w:t>
      </w:r>
    </w:p>
    <w:p>
      <w:pPr>
        <w:pStyle w:val="0"/>
        <w:jc w:val="both"/>
      </w:pPr>
      <w:r>
        <w:rPr>
          <w:sz w:val="24"/>
        </w:rPr>
        <w:t xml:space="preserve">(пп. 7 введен </w:t>
      </w:r>
      <w:hyperlink w:history="0" r:id="rId45"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постановлением</w:t>
        </w:r>
      </w:hyperlink>
      <w:r>
        <w:rPr>
          <w:sz w:val="24"/>
        </w:rPr>
        <w:t xml:space="preserve"> Правительства Белгородской области от 29.05.2023 N 295-пп)</w:t>
      </w:r>
    </w:p>
    <w:bookmarkStart w:id="206" w:name="P206"/>
    <w:bookmarkEnd w:id="206"/>
    <w:p>
      <w:pPr>
        <w:pStyle w:val="0"/>
        <w:spacing w:before="240" w:lineRule="auto"/>
        <w:ind w:firstLine="540"/>
        <w:jc w:val="both"/>
      </w:pPr>
      <w:r>
        <w:rPr>
          <w:sz w:val="24"/>
        </w:rPr>
        <w:t xml:space="preserve">3.2. Победитель отбора в течение 5 (пяти) рабочих дней со дня подписания договора (соглашения) о предоставлении субсидии представляет в центр занятости заявление о предоставлении субсидии, подписанное лицом, имеющим право без доверенности действовать от имени юридического лица, индивидуальным предпринимателем либо представителем юридического лица, индивидуального предпринимателя на основании доверенности, оформленной в соответствии с требованиями законодательства Российской Федерации (далее - заявление), с приложением следующих документов:</w:t>
      </w:r>
    </w:p>
    <w:p>
      <w:pPr>
        <w:pStyle w:val="0"/>
        <w:spacing w:before="240" w:lineRule="auto"/>
        <w:ind w:firstLine="540"/>
        <w:jc w:val="both"/>
      </w:pPr>
      <w:r>
        <w:rPr>
          <w:sz w:val="24"/>
        </w:rPr>
        <w:t xml:space="preserve">1) заверенных подписью руководителя (или иного уполномоченного должностного лица) и печатью (при наличии) победителя отбора копий документов, предусмотренных </w:t>
      </w:r>
      <w:hyperlink w:history="0" w:anchor="P200" w:tooltip="5) наличие договора, подписанного между победителем отбора и образовательными организациями для проведения профессионального обучения (в случае обучения в специализированном структурном образовательном подразделении издается соответствующий приказ);">
        <w:r>
          <w:rPr>
            <w:sz w:val="24"/>
            <w:color w:val="0000ff"/>
          </w:rPr>
          <w:t xml:space="preserve">подпунктами 5</w:t>
        </w:r>
      </w:hyperlink>
      <w:r>
        <w:rPr>
          <w:sz w:val="24"/>
        </w:rPr>
        <w:t xml:space="preserve"> - </w:t>
      </w:r>
      <w:hyperlink w:history="0" w:anchor="P204" w:tooltip="7) наличие приказа о направлении работников и граждан на профессиональное обучение.">
        <w:r>
          <w:rPr>
            <w:sz w:val="24"/>
            <w:color w:val="0000ff"/>
          </w:rPr>
          <w:t xml:space="preserve">7 пункта 3.1 раздела 3</w:t>
        </w:r>
      </w:hyperlink>
      <w:r>
        <w:rPr>
          <w:sz w:val="24"/>
        </w:rPr>
        <w:t xml:space="preserve"> Порядка;</w:t>
      </w:r>
    </w:p>
    <w:p>
      <w:pPr>
        <w:pStyle w:val="0"/>
        <w:spacing w:before="240" w:lineRule="auto"/>
        <w:ind w:firstLine="540"/>
        <w:jc w:val="both"/>
      </w:pPr>
      <w:r>
        <w:rPr>
          <w:sz w:val="24"/>
        </w:rPr>
        <w:t xml:space="preserve">2) информации об организации профессионального обучения работников и граждан с указанием:</w:t>
      </w:r>
    </w:p>
    <w:p>
      <w:pPr>
        <w:pStyle w:val="0"/>
        <w:spacing w:before="240" w:lineRule="auto"/>
        <w:ind w:firstLine="540"/>
        <w:jc w:val="both"/>
      </w:pPr>
      <w:r>
        <w:rPr>
          <w:sz w:val="24"/>
        </w:rPr>
        <w:t xml:space="preserve">- наименования победителя отбора;</w:t>
      </w:r>
    </w:p>
    <w:p>
      <w:pPr>
        <w:pStyle w:val="0"/>
        <w:spacing w:before="240" w:lineRule="auto"/>
        <w:ind w:firstLine="540"/>
        <w:jc w:val="both"/>
      </w:pPr>
      <w:r>
        <w:rPr>
          <w:sz w:val="24"/>
        </w:rPr>
        <w:t xml:space="preserve">- численности и профессионально-квалификационного состава работников и граждан, направляемых на профессиональное обучение;</w:t>
      </w:r>
    </w:p>
    <w:p>
      <w:pPr>
        <w:pStyle w:val="0"/>
        <w:spacing w:before="240" w:lineRule="auto"/>
        <w:ind w:firstLine="540"/>
        <w:jc w:val="both"/>
      </w:pPr>
      <w:r>
        <w:rPr>
          <w:sz w:val="24"/>
        </w:rPr>
        <w:t xml:space="preserve">- наименования образовательных организаций, на базе которых планируется организация профессионального обучения работников и граждан;</w:t>
      </w:r>
    </w:p>
    <w:p>
      <w:pPr>
        <w:pStyle w:val="0"/>
        <w:spacing w:before="240" w:lineRule="auto"/>
        <w:ind w:firstLine="540"/>
        <w:jc w:val="both"/>
      </w:pPr>
      <w:r>
        <w:rPr>
          <w:sz w:val="24"/>
        </w:rPr>
        <w:t xml:space="preserve">- наименования профессий, специальностей, образовательных программ, по которым будет организовано профессиональное обучение;</w:t>
      </w:r>
    </w:p>
    <w:p>
      <w:pPr>
        <w:pStyle w:val="0"/>
        <w:spacing w:before="240" w:lineRule="auto"/>
        <w:ind w:firstLine="540"/>
        <w:jc w:val="both"/>
      </w:pPr>
      <w:r>
        <w:rPr>
          <w:sz w:val="24"/>
        </w:rPr>
        <w:t xml:space="preserve">- объема средств, направляемых на организацию профессионального обучения работников и граждан;</w:t>
      </w:r>
    </w:p>
    <w:p>
      <w:pPr>
        <w:pStyle w:val="0"/>
        <w:spacing w:before="240" w:lineRule="auto"/>
        <w:ind w:firstLine="540"/>
        <w:jc w:val="both"/>
      </w:pPr>
      <w:r>
        <w:rPr>
          <w:sz w:val="24"/>
        </w:rPr>
        <w:t xml:space="preserve">- плана-графика профессионального обучения работников и граждан;</w:t>
      </w:r>
    </w:p>
    <w:p>
      <w:pPr>
        <w:pStyle w:val="0"/>
        <w:spacing w:before="240" w:lineRule="auto"/>
        <w:ind w:firstLine="540"/>
        <w:jc w:val="both"/>
      </w:pPr>
      <w:r>
        <w:rPr>
          <w:sz w:val="24"/>
        </w:rPr>
        <w:t xml:space="preserve">3) описи представленных документов.</w:t>
      </w:r>
    </w:p>
    <w:p>
      <w:pPr>
        <w:pStyle w:val="0"/>
        <w:spacing w:before="240" w:lineRule="auto"/>
        <w:ind w:firstLine="540"/>
        <w:jc w:val="both"/>
      </w:pPr>
      <w:r>
        <w:rPr>
          <w:sz w:val="24"/>
        </w:rPr>
        <w:t xml:space="preserve">Документы, указанные в подпунктах 2 - 3 настоящего пункта, должны быть заверены подписью руководителя юридического лица, индивидуального предпринимателя и печатью (при наличии).</w:t>
      </w:r>
    </w:p>
    <w:p>
      <w:pPr>
        <w:pStyle w:val="0"/>
        <w:spacing w:before="240" w:lineRule="auto"/>
        <w:ind w:firstLine="540"/>
        <w:jc w:val="both"/>
      </w:pPr>
      <w:r>
        <w:rPr>
          <w:sz w:val="24"/>
        </w:rPr>
        <w:t xml:space="preserve">Документы представляются на бумажном носителе в одном экземпляре непосредственно в центр занятости лицом, имеющим право без доверенности действовать от имени юридического лица, индивидуальным предпринимателем либо представителем юридического лица, индивидуального предпринимателя на основании доверенности, оформленной в соответствии с требованиями законодательства Российской Федерации.</w:t>
      </w:r>
    </w:p>
    <w:p>
      <w:pPr>
        <w:pStyle w:val="0"/>
        <w:jc w:val="both"/>
      </w:pPr>
      <w:r>
        <w:rPr>
          <w:sz w:val="24"/>
        </w:rPr>
        <w:t xml:space="preserve">(п. 3.2 в ред. </w:t>
      </w:r>
      <w:hyperlink w:history="0" r:id="rId46"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3.3. Центр занятости:</w:t>
      </w:r>
    </w:p>
    <w:p>
      <w:pPr>
        <w:pStyle w:val="0"/>
        <w:spacing w:before="240" w:lineRule="auto"/>
        <w:ind w:firstLine="540"/>
        <w:jc w:val="both"/>
      </w:pPr>
      <w:r>
        <w:rPr>
          <w:sz w:val="24"/>
        </w:rPr>
        <w:t xml:space="preserve">1) регистрирует заявление в день его поступления в порядке очередности (с указанием даты и времени поступления) в журнале регистрации заявлений, который должен быть пронумерован, прошнурован и скреплен печатью центра занятости;</w:t>
      </w:r>
    </w:p>
    <w:p>
      <w:pPr>
        <w:pStyle w:val="0"/>
        <w:spacing w:before="240" w:lineRule="auto"/>
        <w:ind w:firstLine="540"/>
        <w:jc w:val="both"/>
      </w:pPr>
      <w:r>
        <w:rPr>
          <w:sz w:val="24"/>
        </w:rPr>
        <w:t xml:space="preserve">2) в течение 3 (трех) рабочих дней со дня регистрации заявления рассматривает его с учетом сведений, содержащихся в документах, указанных в </w:t>
      </w:r>
      <w:hyperlink w:history="0" w:anchor="P132" w:tooltip="2.4. Для участия в отборе участник отбора представляет в центр занятости заявку по форме согласно приложению N 1 к Порядку, включающую согласие на обработку персональных данных (для физического лица), с приложением следующих документов:">
        <w:r>
          <w:rPr>
            <w:sz w:val="24"/>
            <w:color w:val="0000ff"/>
          </w:rPr>
          <w:t xml:space="preserve">пункте 2.4 раздела 2</w:t>
        </w:r>
      </w:hyperlink>
      <w:r>
        <w:rPr>
          <w:sz w:val="24"/>
        </w:rPr>
        <w:t xml:space="preserve"> и </w:t>
      </w:r>
      <w:hyperlink w:history="0" w:anchor="P206" w:tooltip="3.2. Победитель отбора в течение 5 (пяти) рабочих дней со дня подписания договора (соглашения) о предоставлении субсидии представляет в центр занятости заявление о предоставлении субсидии, подписанное лицом, имеющим право без доверенности действовать от имени юридического лица, индивидуальным предпринимателем либо представителем юридического лица, индивидуального предпринимателя на основании доверенности, оформленной в соответствии с требованиями законодательства Российской Федерации (далее - заявление),...">
        <w:r>
          <w:rPr>
            <w:sz w:val="24"/>
            <w:color w:val="0000ff"/>
          </w:rPr>
          <w:t xml:space="preserve">пункте 3.2 раздела 3</w:t>
        </w:r>
      </w:hyperlink>
      <w:r>
        <w:rPr>
          <w:sz w:val="24"/>
        </w:rPr>
        <w:t xml:space="preserve"> Порядка, и принимает решение о предоставлении субсидии или об отказе в предоставлении субсидии победителю отбора. Решение о предоставлении субсидии или об отказе в предоставлении субсидии победителю отбора утверждается приказом центра занятости.</w:t>
      </w:r>
    </w:p>
    <w:p>
      <w:pPr>
        <w:pStyle w:val="0"/>
        <w:spacing w:before="240" w:lineRule="auto"/>
        <w:ind w:firstLine="540"/>
        <w:jc w:val="both"/>
      </w:pPr>
      <w:r>
        <w:rPr>
          <w:sz w:val="24"/>
        </w:rPr>
        <w:t xml:space="preserve">3.4. В случае принятия центром занятости решения об отказе в предоставлении субсидии победителю отбора в течение 2 (двух) рабочих дней со дня принятия такого решения направляется уведомление об отказе в предоставлении субсидии с указанием одной или нескольких причин:</w:t>
      </w:r>
    </w:p>
    <w:p>
      <w:pPr>
        <w:pStyle w:val="0"/>
        <w:spacing w:before="240" w:lineRule="auto"/>
        <w:ind w:firstLine="540"/>
        <w:jc w:val="both"/>
      </w:pPr>
      <w:r>
        <w:rPr>
          <w:sz w:val="24"/>
        </w:rPr>
        <w:t xml:space="preserve">1) установление факта недостоверности представленной победителем отбора информации;</w:t>
      </w:r>
    </w:p>
    <w:p>
      <w:pPr>
        <w:pStyle w:val="0"/>
        <w:spacing w:before="240" w:lineRule="auto"/>
        <w:ind w:firstLine="540"/>
        <w:jc w:val="both"/>
      </w:pPr>
      <w:r>
        <w:rPr>
          <w:sz w:val="24"/>
        </w:rPr>
        <w:t xml:space="preserve">2) несоответствие представленных победителем отбора документов требованиям, определенным </w:t>
      </w:r>
      <w:hyperlink w:history="0" w:anchor="P206" w:tooltip="3.2. Победитель отбора в течение 5 (пяти) рабочих дней со дня подписания договора (соглашения) о предоставлении субсидии представляет в центр занятости заявление о предоставлении субсидии, подписанное лицом, имеющим право без доверенности действовать от имени юридического лица, индивидуальным предпринимателем либо представителем юридического лица, индивидуального предпринимателя на основании доверенности, оформленной в соответствии с требованиями законодательства Российской Федерации (далее - заявление),...">
        <w:r>
          <w:rPr>
            <w:sz w:val="24"/>
            <w:color w:val="0000ff"/>
          </w:rPr>
          <w:t xml:space="preserve">пунктом 3.2 раздела 3</w:t>
        </w:r>
      </w:hyperlink>
      <w:r>
        <w:rPr>
          <w:sz w:val="24"/>
        </w:rPr>
        <w:t xml:space="preserve"> Порядка, и (или) непредставление (представление не в полном объеме) победителем указанных документов;</w:t>
      </w:r>
    </w:p>
    <w:p>
      <w:pPr>
        <w:pStyle w:val="0"/>
        <w:spacing w:before="240" w:lineRule="auto"/>
        <w:ind w:firstLine="540"/>
        <w:jc w:val="both"/>
      </w:pPr>
      <w:r>
        <w:rPr>
          <w:sz w:val="24"/>
        </w:rPr>
        <w:t xml:space="preserve">3) представление победителем отбора заявления после истечения срока, установленного пунктом 3.2 раздела 3 Порядка;</w:t>
      </w:r>
    </w:p>
    <w:p>
      <w:pPr>
        <w:pStyle w:val="0"/>
        <w:spacing w:before="240" w:lineRule="auto"/>
        <w:ind w:firstLine="540"/>
        <w:jc w:val="both"/>
      </w:pPr>
      <w:r>
        <w:rPr>
          <w:sz w:val="24"/>
        </w:rPr>
        <w:t xml:space="preserve">4) недостаточность лимита бюджетных обязательств, доведенных центру занятости на текущий финансовый год, на цель, указанную в </w:t>
      </w:r>
      <w:hyperlink w:history="0" w:anchor="P71" w:tooltip="1.2. Целью предоставления субсидии является финансовое обеспечение (возмещение)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далее соответственно - профессиональное обучение, работники, граждане).">
        <w:r>
          <w:rPr>
            <w:sz w:val="24"/>
            <w:color w:val="0000ff"/>
          </w:rPr>
          <w:t xml:space="preserve">пункте 1.2 раздела 1</w:t>
        </w:r>
      </w:hyperlink>
      <w:r>
        <w:rPr>
          <w:sz w:val="24"/>
        </w:rPr>
        <w:t xml:space="preserve"> Порядка.</w:t>
      </w:r>
    </w:p>
    <w:p>
      <w:pPr>
        <w:pStyle w:val="0"/>
        <w:spacing w:before="240" w:lineRule="auto"/>
        <w:ind w:firstLine="540"/>
        <w:jc w:val="both"/>
      </w:pPr>
      <w:r>
        <w:rPr>
          <w:sz w:val="24"/>
        </w:rPr>
        <w:t xml:space="preserve">Уведомление об отказе в предоставлении субсидии передается на бумажном носителе лично уполномоченному лицу победителя отбора.</w:t>
      </w:r>
    </w:p>
    <w:p>
      <w:pPr>
        <w:pStyle w:val="0"/>
        <w:jc w:val="both"/>
      </w:pPr>
      <w:r>
        <w:rPr>
          <w:sz w:val="24"/>
        </w:rPr>
        <w:t xml:space="preserve">(п. 3.4 в ред. </w:t>
      </w:r>
      <w:hyperlink w:history="0" r:id="rId47"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3.5. В случае принятия центром занятости решения о предоставлении субсидии победителю отбора в течение 2 (двух) рабочих дней со дня принятия такого решения направляется уведомление о предоставлении субсидии.</w:t>
      </w:r>
    </w:p>
    <w:p>
      <w:pPr>
        <w:pStyle w:val="0"/>
        <w:spacing w:before="240" w:lineRule="auto"/>
        <w:ind w:firstLine="540"/>
        <w:jc w:val="both"/>
      </w:pPr>
      <w:r>
        <w:rPr>
          <w:sz w:val="24"/>
        </w:rPr>
        <w:t xml:space="preserve">Уведомление о предоставлении субсидии передается на бумажном носителе лично уполномоченному лицу получателя субсидии.</w:t>
      </w:r>
    </w:p>
    <w:p>
      <w:pPr>
        <w:pStyle w:val="0"/>
        <w:jc w:val="both"/>
      </w:pPr>
      <w:r>
        <w:rPr>
          <w:sz w:val="24"/>
        </w:rPr>
        <w:t xml:space="preserve">(в ред. </w:t>
      </w:r>
      <w:hyperlink w:history="0" r:id="rId48"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bookmarkStart w:id="232" w:name="P232"/>
    <w:bookmarkEnd w:id="232"/>
    <w:p>
      <w:pPr>
        <w:pStyle w:val="0"/>
        <w:spacing w:before="240" w:lineRule="auto"/>
        <w:ind w:firstLine="540"/>
        <w:jc w:val="both"/>
      </w:pPr>
      <w:r>
        <w:rPr>
          <w:sz w:val="24"/>
        </w:rPr>
        <w:t xml:space="preserve">3.6. Размер субсидии, предоставляемой получателю субсидии, определяется центром занятости в пределах бюджетных ассигнований и лимитов бюджетных обязательств, выделенных центру занятости на текущий финансовый год, согласно расчетам, указанным в смете расходов, по формуле:</w:t>
      </w:r>
    </w:p>
    <w:p>
      <w:pPr>
        <w:pStyle w:val="0"/>
        <w:jc w:val="both"/>
      </w:pPr>
      <w:r>
        <w:rPr>
          <w:sz w:val="24"/>
        </w:rPr>
      </w:r>
    </w:p>
    <w:p>
      <w:pPr>
        <w:pStyle w:val="0"/>
        <w:jc w:val="center"/>
      </w:pPr>
      <w:r>
        <w:rPr>
          <w:sz w:val="24"/>
        </w:rPr>
        <w:t xml:space="preserve">S</w:t>
      </w:r>
      <w:r>
        <w:rPr>
          <w:sz w:val="24"/>
          <w:vertAlign w:val="subscript"/>
        </w:rPr>
        <w:t xml:space="preserve">об</w:t>
      </w:r>
      <w:r>
        <w:rPr>
          <w:sz w:val="24"/>
        </w:rPr>
        <w:t xml:space="preserve"> = N x C</w:t>
      </w:r>
      <w:r>
        <w:rPr>
          <w:sz w:val="24"/>
          <w:vertAlign w:val="subscript"/>
        </w:rPr>
        <w:t xml:space="preserve">обуч</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 - численность работников и граждан, направляемых на профессиональное обучение;</w:t>
      </w:r>
    </w:p>
    <w:p>
      <w:pPr>
        <w:pStyle w:val="0"/>
        <w:jc w:val="both"/>
      </w:pPr>
      <w:r>
        <w:rPr>
          <w:sz w:val="24"/>
        </w:rPr>
        <w:t xml:space="preserve">(в ред. </w:t>
      </w:r>
      <w:hyperlink w:history="0" r:id="rId49"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C</w:t>
      </w:r>
      <w:r>
        <w:rPr>
          <w:sz w:val="24"/>
          <w:vertAlign w:val="subscript"/>
        </w:rPr>
        <w:t xml:space="preserve">обуч</w:t>
      </w:r>
      <w:r>
        <w:rPr>
          <w:sz w:val="24"/>
        </w:rPr>
        <w:t xml:space="preserve"> - средняя стоимость профессионального обучения из расчета на одного человека согласно стоимости, указанной в пояснительной записке к заявлению (не более 59,58 тыс. рублей).</w:t>
      </w:r>
    </w:p>
    <w:p>
      <w:pPr>
        <w:pStyle w:val="0"/>
        <w:jc w:val="both"/>
      </w:pPr>
      <w:r>
        <w:rPr>
          <w:sz w:val="24"/>
        </w:rPr>
        <w:t xml:space="preserve">(в ред. </w:t>
      </w:r>
      <w:hyperlink w:history="0" r:id="rId50"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3.7. Исключен. - </w:t>
      </w:r>
      <w:hyperlink w:history="0" r:id="rId51"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w:t>
        </w:r>
      </w:hyperlink>
      <w:r>
        <w:rPr>
          <w:sz w:val="24"/>
        </w:rPr>
        <w:t xml:space="preserve"> Правительства Белгородской области от 29.05.2023 N 295-пп.</w:t>
      </w:r>
    </w:p>
    <w:p>
      <w:pPr>
        <w:pStyle w:val="0"/>
        <w:spacing w:before="240" w:lineRule="auto"/>
        <w:ind w:firstLine="540"/>
        <w:jc w:val="both"/>
      </w:pPr>
      <w:hyperlink w:history="0" r:id="rId52"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3.7</w:t>
        </w:r>
      </w:hyperlink>
      <w:r>
        <w:rPr>
          <w:sz w:val="24"/>
        </w:rPr>
        <w:t xml:space="preserve">. Результат предоставления субсидии - численность работников, а также граждан, прошедших профессиональное обучение и получивших дополнительное профессиональное образование.</w:t>
      </w:r>
    </w:p>
    <w:p>
      <w:pPr>
        <w:pStyle w:val="0"/>
        <w:spacing w:before="240" w:lineRule="auto"/>
        <w:ind w:firstLine="540"/>
        <w:jc w:val="both"/>
      </w:pPr>
      <w:r>
        <w:rPr>
          <w:sz w:val="24"/>
        </w:rPr>
        <w:t xml:space="preserve">Показателем, применяемым для оценки эффективности использования субсидии, является доля занятых после завершения профессионального обучения и получения дополнительного профессионального образования из числа работников и граждан, прошедших профессиональное обучение и получивших дополнительное профессиональное образование.</w:t>
      </w:r>
    </w:p>
    <w:p>
      <w:pPr>
        <w:pStyle w:val="0"/>
        <w:jc w:val="both"/>
      </w:pPr>
      <w:r>
        <w:rPr>
          <w:sz w:val="24"/>
        </w:rPr>
        <w:t xml:space="preserve">(п. 3.7 в ред. </w:t>
      </w:r>
      <w:hyperlink w:history="0" r:id="rId53"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bookmarkStart w:id="245" w:name="P245"/>
    <w:bookmarkEnd w:id="245"/>
    <w:p>
      <w:pPr>
        <w:pStyle w:val="0"/>
        <w:spacing w:before="240" w:lineRule="auto"/>
        <w:ind w:firstLine="540"/>
        <w:jc w:val="both"/>
      </w:pPr>
      <w:hyperlink w:history="0" r:id="rId54"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3.8</w:t>
        </w:r>
      </w:hyperlink>
      <w:r>
        <w:rPr>
          <w:sz w:val="24"/>
        </w:rPr>
        <w:t xml:space="preserve">. Субсидия перечисляется получателю субсидии в пределах лимитов бюджетных обязательств в срок, не превышающий 10 (десяти) рабочих дней со дня представления в центр занятости отчета о достижении значений результатов предоставления субсидии и копий документов (копий приказов о завершении профессионального обучения, копий документов об образовании установленного законодательством образца, выданных работникам и гражданам, прошедшим профессиональное обучение, копий приказов о сохранении за работниками рабочих мест (при прохождении профессионального обучения работниками), копий трудовых договоров, заключенных с гражданами (при прохождении профессионального обучения гражданами)) при условии сохранения занятости.</w:t>
      </w:r>
    </w:p>
    <w:p>
      <w:pPr>
        <w:pStyle w:val="0"/>
        <w:spacing w:before="240" w:lineRule="auto"/>
        <w:ind w:firstLine="540"/>
        <w:jc w:val="both"/>
      </w:pPr>
      <w:r>
        <w:rPr>
          <w:sz w:val="24"/>
        </w:rPr>
        <w:t xml:space="preserve">Получатель субсидии представляет в центр занятости документы, указанные в </w:t>
      </w:r>
      <w:hyperlink w:history="0" w:anchor="P245" w:tooltip="3.8. Субсидия перечисляется получателю субсидии в пределах лимитов бюджетных обязательств в срок, не превышающий 10 (десяти) рабочих дней со дня представления в центр занятости отчета о достижении значений результатов предоставления субсидии и копий документов (копий приказов о завершении профессионального обучения, копий документов об образовании установленного законодательством образца, выданных работникам и гражданам, прошедшим профессиональное обучение, копий приказов о сохранении за работниками рабо...">
        <w:r>
          <w:rPr>
            <w:sz w:val="24"/>
            <w:color w:val="0000ff"/>
          </w:rPr>
          <w:t xml:space="preserve">первом абзаце пункта 3.8 раздела 3</w:t>
        </w:r>
      </w:hyperlink>
      <w:r>
        <w:rPr>
          <w:sz w:val="24"/>
        </w:rPr>
        <w:t xml:space="preserve"> Порядка, в течение 10 (десяти) рабочих дней со дня завершения мероприятий по профессиональному обучению.</w:t>
      </w:r>
    </w:p>
    <w:p>
      <w:pPr>
        <w:pStyle w:val="0"/>
        <w:spacing w:before="240" w:lineRule="auto"/>
        <w:ind w:firstLine="540"/>
        <w:jc w:val="both"/>
      </w:pPr>
      <w:r>
        <w:rPr>
          <w:sz w:val="24"/>
        </w:rPr>
        <w:t xml:space="preserve">В случае включения в договор (соглашение) с победителем отбора условия о предоставлении авансирования финансового обеспечения затрат перечисление авансового платежа осуществляется в срок, не превышающий 10 (десяти) рабочих дней со дня представления в центр занятости документов, предусмотренных </w:t>
      </w:r>
      <w:hyperlink w:history="0" w:anchor="P206" w:tooltip="3.2. Победитель отбора в течение 5 (пяти) рабочих дней со дня подписания договора (соглашения) о предоставлении субсидии представляет в центр занятости заявление о предоставлении субсидии, подписанное лицом, имеющим право без доверенности действовать от имени юридического лица, индивидуальным предпринимателем либо представителем юридического лица, индивидуального предпринимателя на основании доверенности, оформленной в соответствии с требованиями законодательства Российской Федерации (далее - заявление),...">
        <w:r>
          <w:rPr>
            <w:sz w:val="24"/>
            <w:color w:val="0000ff"/>
          </w:rPr>
          <w:t xml:space="preserve">пунктом 3.2 раздела 3</w:t>
        </w:r>
      </w:hyperlink>
      <w:r>
        <w:rPr>
          <w:sz w:val="24"/>
        </w:rPr>
        <w:t xml:space="preserve"> Порядка, и иных документов, представление которых установлено договором (соглашением).</w:t>
      </w:r>
    </w:p>
    <w:p>
      <w:pPr>
        <w:pStyle w:val="0"/>
        <w:jc w:val="both"/>
      </w:pPr>
      <w:r>
        <w:rPr>
          <w:sz w:val="24"/>
        </w:rPr>
        <w:t xml:space="preserve">(п. 3.8 в ред. </w:t>
      </w:r>
      <w:hyperlink w:history="0" r:id="rId55"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hyperlink w:history="0" r:id="rId56"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3.9</w:t>
        </w:r>
      </w:hyperlink>
      <w:r>
        <w:rPr>
          <w:sz w:val="24"/>
        </w:rPr>
        <w:t xml:space="preserve">. Центр занятости представляет в министерство финансов и бюджетной политики Белгородской области в электронном виде заявки с подтверждающими документами. Министерство финансов и бюджетной политики Белгородской области на основании полученных заявок в течение 5 (пяти) календарных дней осуществляет кассовые выплаты с лицевого счета центра занятости, открытого в министерстве финансов и бюджетной политики Белгородской области, на расчетные счета получателей субсидии, открытые в кредитных учреждениях.</w:t>
      </w:r>
    </w:p>
    <w:p>
      <w:pPr>
        <w:pStyle w:val="0"/>
        <w:spacing w:before="240" w:lineRule="auto"/>
        <w:ind w:firstLine="540"/>
        <w:jc w:val="both"/>
      </w:pPr>
      <w:hyperlink w:history="0" r:id="rId57"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3.10</w:t>
        </w:r>
      </w:hyperlink>
      <w:r>
        <w:rPr>
          <w:sz w:val="24"/>
        </w:rPr>
        <w:t xml:space="preserve">. В случае расторжения трудового и (или) ученического договоров с работниками и гражданами, проходящими профессиональное обучение за счет средств субсидии, производится оплата только фактически подтвержденных расходов, произведенных до даты расторжения трудового и (или) ученического договоров.</w:t>
      </w:r>
    </w:p>
    <w:p>
      <w:pPr>
        <w:pStyle w:val="0"/>
        <w:jc w:val="both"/>
      </w:pPr>
      <w:r>
        <w:rPr>
          <w:sz w:val="24"/>
        </w:rPr>
        <w:t xml:space="preserve">(в ред. </w:t>
      </w:r>
      <w:hyperlink w:history="0" r:id="rId58"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hyperlink w:history="0" r:id="rId59"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3.11</w:t>
        </w:r>
      </w:hyperlink>
      <w:r>
        <w:rPr>
          <w:sz w:val="24"/>
        </w:rPr>
        <w:t xml:space="preserve">. В случае наличия уважительных причин пропусков работниками и (или) гражданами занятий по профессиональному обучению (временная нетрудоспособность, ежегодный оплачиваемый отпуск, административный отпуск, командировка) и (или) наличия уважительных причин для прекращения профессионального обучения (увольнение по собственному желанию, смерть) получатель субсидии вправе направить других работников и (или) граждан на профессиональное обучение в рамках заключенного с центром занятости договора (соглашения).</w:t>
      </w:r>
    </w:p>
    <w:p>
      <w:pPr>
        <w:pStyle w:val="0"/>
        <w:jc w:val="both"/>
      </w:pPr>
      <w:r>
        <w:rPr>
          <w:sz w:val="24"/>
        </w:rPr>
        <w:t xml:space="preserve">(п. 3.11 в ред. </w:t>
      </w:r>
      <w:hyperlink w:history="0" r:id="rId60"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hyperlink w:history="0" r:id="rId61"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3.12</w:t>
        </w:r>
      </w:hyperlink>
      <w:r>
        <w:rPr>
          <w:sz w:val="24"/>
        </w:rPr>
        <w:t xml:space="preserve">. Показатели результата предоставления субсидии устанавливаются в соглашении о предоставлении иного межбюджетного трансферта из федерального бюджета бюджету Белгородской области между Федеральной службой по труду и занятости и Правительством Белгородской области и отражаются в государственной </w:t>
      </w:r>
      <w:hyperlink w:history="0" r:id="rId62" w:tooltip="Постановление Правительства Белгородской обл. от 16.12.2013 N 527-пп (ред. от 28.12.2023) &quot;Об утверждении государственной программы Белгородской области &quot;Содействие занятости населения Белгородской области&quot; ------------ Утратил силу или отменен {КонсультантПлюс}">
        <w:r>
          <w:rPr>
            <w:sz w:val="24"/>
            <w:color w:val="0000ff"/>
          </w:rPr>
          <w:t xml:space="preserve">программе</w:t>
        </w:r>
      </w:hyperlink>
      <w:r>
        <w:rPr>
          <w:sz w:val="24"/>
        </w:rPr>
        <w:t xml:space="preserve"> Белгородской области "Содействие занятости населения Белгородской области", утвержденной постановлением Правительства Белгородской области от 16 декабря 2013 года N 527-пп, и плане мероприятий по организации профессионального обучения и дополнительного профессионального образования работников промышленных организаций,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утверждаемом приказом Министерства.</w:t>
      </w:r>
    </w:p>
    <w:p>
      <w:pPr>
        <w:pStyle w:val="0"/>
        <w:jc w:val="both"/>
      </w:pPr>
      <w:r>
        <w:rPr>
          <w:sz w:val="24"/>
        </w:rPr>
      </w:r>
    </w:p>
    <w:p>
      <w:pPr>
        <w:pStyle w:val="2"/>
        <w:outlineLvl w:val="1"/>
        <w:jc w:val="center"/>
      </w:pPr>
      <w:r>
        <w:rPr>
          <w:sz w:val="24"/>
        </w:rPr>
        <w:t xml:space="preserve">4. Требования к отчетности</w:t>
      </w:r>
    </w:p>
    <w:p>
      <w:pPr>
        <w:pStyle w:val="0"/>
        <w:jc w:val="both"/>
      </w:pPr>
      <w:r>
        <w:rPr>
          <w:sz w:val="24"/>
        </w:rPr>
      </w:r>
    </w:p>
    <w:p>
      <w:pPr>
        <w:pStyle w:val="0"/>
        <w:ind w:firstLine="540"/>
        <w:jc w:val="both"/>
      </w:pPr>
      <w:r>
        <w:rPr>
          <w:sz w:val="24"/>
        </w:rPr>
        <w:t xml:space="preserve">4.1. Получатель субсидии представляет в центр занятости отчеты о достижении планируемых значений результата предоставления субсидии ежемесячно не позднее 5 (пяти) рабочих дней, следующих за отчетным периодом, по форме, определенной договором (соглашением).</w:t>
      </w:r>
    </w:p>
    <w:p>
      <w:pPr>
        <w:pStyle w:val="0"/>
        <w:spacing w:before="240" w:lineRule="auto"/>
        <w:ind w:firstLine="540"/>
        <w:jc w:val="both"/>
      </w:pPr>
      <w:r>
        <w:rPr>
          <w:sz w:val="24"/>
        </w:rPr>
        <w:t xml:space="preserve">4.2. Центр занятости вправе устанавливать в договоре (соглашении) дополнительные формы отчетности и сроки ее представления получателем субсидии.</w:t>
      </w:r>
    </w:p>
    <w:p>
      <w:pPr>
        <w:pStyle w:val="0"/>
        <w:spacing w:before="240" w:lineRule="auto"/>
        <w:ind w:firstLine="540"/>
        <w:jc w:val="both"/>
      </w:pPr>
      <w:r>
        <w:rPr>
          <w:sz w:val="24"/>
        </w:rPr>
        <w:t xml:space="preserve">4.3. Получатель субсидии несет ответственность за достоверность и своевременность представления отчетности, предусмотренной пунктами 4.1 и 4.2 раздела 4 Порядка.</w:t>
      </w:r>
    </w:p>
    <w:p>
      <w:pPr>
        <w:pStyle w:val="0"/>
        <w:jc w:val="both"/>
      </w:pPr>
      <w:r>
        <w:rPr>
          <w:sz w:val="24"/>
        </w:rPr>
      </w:r>
    </w:p>
    <w:p>
      <w:pPr>
        <w:pStyle w:val="2"/>
        <w:outlineLvl w:val="1"/>
        <w:jc w:val="center"/>
      </w:pPr>
      <w:r>
        <w:rPr>
          <w:sz w:val="24"/>
        </w:rPr>
        <w:t xml:space="preserve">5. Требования об осуществлении контроля за соблюдением</w:t>
      </w:r>
    </w:p>
    <w:p>
      <w:pPr>
        <w:pStyle w:val="2"/>
        <w:jc w:val="center"/>
      </w:pPr>
      <w:r>
        <w:rPr>
          <w:sz w:val="24"/>
        </w:rPr>
        <w:t xml:space="preserve">условий и порядка предоставления субсидии</w:t>
      </w:r>
    </w:p>
    <w:p>
      <w:pPr>
        <w:pStyle w:val="2"/>
        <w:jc w:val="center"/>
      </w:pPr>
      <w:r>
        <w:rPr>
          <w:sz w:val="24"/>
        </w:rPr>
        <w:t xml:space="preserve">и ответственность за их нарушение</w:t>
      </w:r>
    </w:p>
    <w:p>
      <w:pPr>
        <w:pStyle w:val="0"/>
        <w:jc w:val="both"/>
      </w:pPr>
      <w:r>
        <w:rPr>
          <w:sz w:val="24"/>
        </w:rPr>
      </w:r>
    </w:p>
    <w:p>
      <w:pPr>
        <w:pStyle w:val="0"/>
        <w:ind w:firstLine="540"/>
        <w:jc w:val="both"/>
      </w:pPr>
      <w:r>
        <w:rPr>
          <w:sz w:val="24"/>
        </w:rPr>
        <w:t xml:space="preserve">5.1. Контроль за целевым и эффективным использованием субсидии, за выполнением условий договоров (соглашений) осуществляет центр занятости путем:</w:t>
      </w:r>
    </w:p>
    <w:p>
      <w:pPr>
        <w:pStyle w:val="0"/>
        <w:jc w:val="both"/>
      </w:pPr>
      <w:r>
        <w:rPr>
          <w:sz w:val="24"/>
        </w:rPr>
        <w:t xml:space="preserve">(в ред. </w:t>
      </w:r>
      <w:hyperlink w:history="0" r:id="rId63"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1) проведения проверки достоверности документов, подтверждающих произведенные затраты;</w:t>
      </w:r>
    </w:p>
    <w:p>
      <w:pPr>
        <w:pStyle w:val="0"/>
        <w:spacing w:before="240" w:lineRule="auto"/>
        <w:ind w:firstLine="540"/>
        <w:jc w:val="both"/>
      </w:pPr>
      <w:r>
        <w:rPr>
          <w:sz w:val="24"/>
        </w:rPr>
        <w:t xml:space="preserve">2) проведения проверок с выездом к получателям субсидий.</w:t>
      </w:r>
    </w:p>
    <w:p>
      <w:pPr>
        <w:pStyle w:val="0"/>
        <w:jc w:val="both"/>
      </w:pPr>
      <w:r>
        <w:rPr>
          <w:sz w:val="24"/>
        </w:rPr>
        <w:t xml:space="preserve">(в ред. </w:t>
      </w:r>
      <w:hyperlink w:history="0" r:id="rId64"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3) проведения проверки соблюдения порядка и условий предоставления субсидий, в том числе в части достижения результатов предоставления субсидий.</w:t>
      </w:r>
    </w:p>
    <w:p>
      <w:pPr>
        <w:pStyle w:val="0"/>
        <w:jc w:val="both"/>
      </w:pPr>
      <w:r>
        <w:rPr>
          <w:sz w:val="24"/>
        </w:rPr>
        <w:t xml:space="preserve">(пп. 3 введен </w:t>
      </w:r>
      <w:hyperlink w:history="0" r:id="rId65"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Постановлением</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5.2. Министерство осуществляет проверку соблюдения получателем субсидии и лицами, являющимися поставщиками (подрядчиками, исполнителями) по договорам, заключенным в целях исполнения обязательств по договору (соглашению), условий и порядка предоставления субсидии, а также органы государственного финансового контроля осуществляют проверки в соответствии со </w:t>
      </w:r>
      <w:hyperlink w:history="0" r:id="rId6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статьями 268.1</w:t>
        </w:r>
      </w:hyperlink>
      <w:r>
        <w:rPr>
          <w:sz w:val="24"/>
        </w:rPr>
        <w:t xml:space="preserve"> и </w:t>
      </w:r>
      <w:hyperlink w:history="0" r:id="rId6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269.2</w:t>
        </w:r>
      </w:hyperlink>
      <w:r>
        <w:rPr>
          <w:sz w:val="24"/>
        </w:rPr>
        <w:t xml:space="preserve"> Бюджетного кодекса Российской Федерации, в том числе соблюдения порядка и условий предоставления субсидии.</w:t>
      </w:r>
    </w:p>
    <w:p>
      <w:pPr>
        <w:pStyle w:val="0"/>
        <w:jc w:val="both"/>
      </w:pPr>
      <w:r>
        <w:rPr>
          <w:sz w:val="24"/>
        </w:rPr>
        <w:t xml:space="preserve">(п. 5.2 в ред. </w:t>
      </w:r>
      <w:hyperlink w:history="0" r:id="rId68"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5.3. Получатель субсидии и образовательные организации, с которыми получатель субсидии заключил договоры (в случае профессионального обучения в специализированном структурном образовательном подразделении издается соответствующий приказ), представляют документы и информацию, необходимые для осуществления контроля за соблюдением порядка и условий предоставления субсидии, в течение 5 (пяти) рабочих дней со дня получения соответствующего запроса Министерства о представлении документов и информации.</w:t>
      </w:r>
    </w:p>
    <w:p>
      <w:pPr>
        <w:pStyle w:val="0"/>
        <w:spacing w:before="240" w:lineRule="auto"/>
        <w:ind w:firstLine="540"/>
        <w:jc w:val="both"/>
      </w:pPr>
      <w:r>
        <w:rPr>
          <w:sz w:val="24"/>
        </w:rPr>
        <w:t xml:space="preserve">5.4. Получатель субсидии несет ответственность за нецелевое использование средств субсидии согласно законодательству Российской Федерации. Факт сохраняющейся занятости работников, прошедших профессиональное обучение, отслеживается центром занятости на основе представленного получателем субсидии соответствующего отчета по истечении трех месяцев после завершения профессионального обучения.</w:t>
      </w:r>
    </w:p>
    <w:p>
      <w:pPr>
        <w:pStyle w:val="0"/>
        <w:spacing w:before="240" w:lineRule="auto"/>
        <w:ind w:firstLine="540"/>
        <w:jc w:val="both"/>
      </w:pPr>
      <w:r>
        <w:rPr>
          <w:sz w:val="24"/>
        </w:rPr>
        <w:t xml:space="preserve">5.5. В случае выявления, в том числе в ходе проверок, проведенных Министерством и (или) органом государственного финансового контроля Белгородской области, фактов нарушения получателем субсидии условий и порядка предоставления субсидии, которые установлены Порядком и договором (соглашением), средства подлежат возврату в доход бюджета Белгородской области в полном объеме, если иное не установлено договором (соглашением), в следующем порядке:</w:t>
      </w:r>
    </w:p>
    <w:p>
      <w:pPr>
        <w:pStyle w:val="0"/>
        <w:spacing w:before="240" w:lineRule="auto"/>
        <w:ind w:firstLine="540"/>
        <w:jc w:val="both"/>
      </w:pPr>
      <w:r>
        <w:rPr>
          <w:sz w:val="24"/>
        </w:rPr>
        <w:t xml:space="preserve">в течение 7 (семи) рабочих дней со дня принятия Министерством решения о необходимости возврата выделенных бюджетных средств получателю субсидии направляется письменное уведомление о возврате субсидии (далее - уведомление) с указанием основания возврата, суммы средств, подлежащих возврату, реквизитов счета, на который необходимо перечислить бюджетные средства;</w:t>
      </w:r>
    </w:p>
    <w:p>
      <w:pPr>
        <w:pStyle w:val="0"/>
        <w:spacing w:before="240" w:lineRule="auto"/>
        <w:ind w:firstLine="540"/>
        <w:jc w:val="both"/>
      </w:pPr>
      <w:r>
        <w:rPr>
          <w:sz w:val="24"/>
        </w:rPr>
        <w:t xml:space="preserve">получатель субсидии в течение 10 (десяти) рабочих дней со дня получения письменного уведомления обязан возвратить указанную сумму средств путем их перечисления на счет, указанный в уведомлении;</w:t>
      </w:r>
    </w:p>
    <w:p>
      <w:pPr>
        <w:pStyle w:val="0"/>
        <w:spacing w:before="240" w:lineRule="auto"/>
        <w:ind w:firstLine="540"/>
        <w:jc w:val="both"/>
      </w:pPr>
      <w:r>
        <w:rPr>
          <w:sz w:val="24"/>
        </w:rPr>
        <w:t xml:space="preserve">при отказе получателя субсидии от добровольного возврата указанных средств они взыскиваются в судебном порядке.</w:t>
      </w:r>
    </w:p>
    <w:p>
      <w:pPr>
        <w:pStyle w:val="0"/>
        <w:spacing w:before="240" w:lineRule="auto"/>
        <w:ind w:firstLine="540"/>
        <w:jc w:val="both"/>
      </w:pPr>
      <w:r>
        <w:rPr>
          <w:sz w:val="24"/>
        </w:rPr>
        <w:t xml:space="preserve">5.6. В случае если получателем субсидии допущено нарушение обязательств по достижению значения результата предоставления субсидии и показателя, необходимого для достижения результата предоставления субсидии, и в срок до представления отчетности о достижении значений результата предоставления субсидии указанные нарушения не устранены, субсидия подлежит возврату работодателем в течение 30 (тридцати) календарных дней со дня выявления указанных нарушений в размере (V</w:t>
      </w:r>
      <w:r>
        <w:rPr>
          <w:sz w:val="24"/>
          <w:vertAlign w:val="subscript"/>
        </w:rPr>
        <w:t xml:space="preserve">возврата</w:t>
      </w:r>
      <w:r>
        <w:rPr>
          <w:sz w:val="24"/>
        </w:rPr>
        <w:t xml:space="preserve">), определяемом по формуле:</w:t>
      </w:r>
    </w:p>
    <w:p>
      <w:pPr>
        <w:pStyle w:val="0"/>
        <w:ind w:firstLine="540"/>
        <w:jc w:val="both"/>
      </w:pPr>
      <w:r>
        <w:rPr>
          <w:sz w:val="24"/>
        </w:rPr>
      </w:r>
    </w:p>
    <w:p>
      <w:pPr>
        <w:pStyle w:val="0"/>
        <w:jc w:val="center"/>
      </w:pPr>
      <w:r>
        <w:rPr>
          <w:position w:val="-28"/>
        </w:rPr>
        <w:drawing>
          <wp:inline distT="0" distB="0" distL="0" distR="0">
            <wp:extent cx="232029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val="0"/>
                        </a:ext>
                      </a:extLst>
                    </a:blip>
                    <a:srcRect/>
                    <a:stretch>
                      <a:fillRect/>
                    </a:stretch>
                  </pic:blipFill>
                  <pic:spPr bwMode="auto">
                    <a:xfrm>
                      <a:off x="0" y="0"/>
                      <a:ext cx="2320290" cy="51435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субсидии</w:t>
      </w:r>
      <w:r>
        <w:rPr>
          <w:sz w:val="24"/>
        </w:rPr>
        <w:t xml:space="preserve"> - размер субсидии, предоставленной работодателю в отчетном финансовом году;</w:t>
      </w:r>
    </w:p>
    <w:p>
      <w:pPr>
        <w:pStyle w:val="0"/>
        <w:spacing w:before="240" w:lineRule="auto"/>
        <w:ind w:firstLine="540"/>
        <w:jc w:val="both"/>
      </w:pPr>
      <w:r>
        <w:rPr>
          <w:sz w:val="24"/>
        </w:rPr>
        <w:t xml:space="preserve">m - количество показателей результатов использования субсидии, по которым индекс, отражающий уровень недостижения i-го результата использования субсидии, имеет положительное значение;</w:t>
      </w:r>
    </w:p>
    <w:p>
      <w:pPr>
        <w:pStyle w:val="0"/>
        <w:spacing w:before="240" w:lineRule="auto"/>
        <w:ind w:firstLine="540"/>
        <w:jc w:val="both"/>
      </w:pPr>
      <w:r>
        <w:rPr>
          <w:sz w:val="24"/>
        </w:rPr>
        <w:t xml:space="preserve">n - общее количество показателей результатов использования субсидии;</w:t>
      </w:r>
    </w:p>
    <w:p>
      <w:pPr>
        <w:pStyle w:val="0"/>
        <w:spacing w:before="240" w:lineRule="auto"/>
        <w:ind w:firstLine="540"/>
        <w:jc w:val="both"/>
      </w:pPr>
      <w:r>
        <w:rPr>
          <w:sz w:val="24"/>
        </w:rPr>
        <w:t xml:space="preserve">k - коэффициент возврата субсидии, который рассчитывается по формуле:</w:t>
      </w:r>
    </w:p>
    <w:p>
      <w:pPr>
        <w:pStyle w:val="0"/>
        <w:ind w:firstLine="540"/>
        <w:jc w:val="both"/>
      </w:pPr>
      <w:r>
        <w:rPr>
          <w:sz w:val="24"/>
        </w:rPr>
      </w:r>
    </w:p>
    <w:p>
      <w:pPr>
        <w:pStyle w:val="0"/>
        <w:jc w:val="center"/>
      </w:pPr>
      <w:r>
        <w:rPr>
          <w:sz w:val="24"/>
        </w:rPr>
        <w:t xml:space="preserve">k = 1 - T / S,</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T - фактически достигнутое значение i-го результата использования субсидии на отчетную дату;</w:t>
      </w:r>
    </w:p>
    <w:p>
      <w:pPr>
        <w:pStyle w:val="0"/>
        <w:spacing w:before="240" w:lineRule="auto"/>
        <w:ind w:firstLine="540"/>
        <w:jc w:val="both"/>
      </w:pPr>
      <w:r>
        <w:rPr>
          <w:sz w:val="24"/>
        </w:rPr>
        <w:t xml:space="preserve">S - плановое значение i-го результата использования субсидии, установленное договором (соглашением).</w:t>
      </w:r>
    </w:p>
    <w:p>
      <w:pPr>
        <w:pStyle w:val="0"/>
        <w:spacing w:before="240" w:lineRule="auto"/>
        <w:ind w:firstLine="540"/>
        <w:jc w:val="both"/>
      </w:pPr>
      <w:r>
        <w:rPr>
          <w:sz w:val="24"/>
        </w:rPr>
        <w:t xml:space="preserve">При расчете коэффициента возврата субсидии используются только положительные значения индекса, отражающего уровень недостижения i-го результата использования субсидии.</w:t>
      </w:r>
    </w:p>
    <w:p>
      <w:pPr>
        <w:pStyle w:val="0"/>
        <w:jc w:val="both"/>
      </w:pPr>
      <w:r>
        <w:rPr>
          <w:sz w:val="24"/>
        </w:rPr>
        <w:t xml:space="preserve">(п. 5.6 в ред. </w:t>
      </w:r>
      <w:hyperlink w:history="0" r:id="rId70"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rPr>
        <w:t xml:space="preserve"> Правительства Белгородской области от 29.05.2023 N 295-пп)</w:t>
      </w:r>
    </w:p>
    <w:p>
      <w:pPr>
        <w:pStyle w:val="0"/>
        <w:spacing w:before="240" w:lineRule="auto"/>
        <w:ind w:firstLine="540"/>
        <w:jc w:val="both"/>
      </w:pPr>
      <w:r>
        <w:rPr>
          <w:sz w:val="24"/>
        </w:rPr>
        <w:t xml:space="preserve">5.7. Исключен. - </w:t>
      </w:r>
      <w:hyperlink w:history="0" r:id="rId71"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w:t>
        </w:r>
      </w:hyperlink>
      <w:r>
        <w:rPr>
          <w:sz w:val="24"/>
        </w:rPr>
        <w:t xml:space="preserve"> Правительства Белгородской области от 29.05.2023 N 295-пп.</w:t>
      </w:r>
    </w:p>
    <w:p>
      <w:pPr>
        <w:pStyle w:val="0"/>
        <w:spacing w:before="240" w:lineRule="auto"/>
        <w:ind w:firstLine="540"/>
        <w:jc w:val="both"/>
      </w:pPr>
      <w:hyperlink w:history="0" r:id="rId72"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5.7</w:t>
        </w:r>
      </w:hyperlink>
      <w:r>
        <w:rPr>
          <w:sz w:val="24"/>
        </w:rPr>
        <w:t xml:space="preserve">. Остаток субсидии, не использованный в текущем финансовом году работодателем, подлежит возврату в бюджет Белгородской области в порядке и в сроки, установленные бюджетным законодательством Российской Федерации и Белгородской области.</w:t>
      </w:r>
    </w:p>
    <w:p>
      <w:pPr>
        <w:pStyle w:val="0"/>
        <w:spacing w:before="240" w:lineRule="auto"/>
        <w:ind w:firstLine="540"/>
        <w:jc w:val="both"/>
      </w:pPr>
      <w:r>
        <w:rPr>
          <w:sz w:val="24"/>
        </w:rPr>
        <w:t xml:space="preserve">5.9 - 5.10. Исключены. - </w:t>
      </w:r>
      <w:hyperlink w:history="0" r:id="rId73"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w:t>
        </w:r>
      </w:hyperlink>
      <w:r>
        <w:rPr>
          <w:sz w:val="24"/>
        </w:rPr>
        <w:t xml:space="preserve"> Правительства Белгородской области от 29.05.2023 N 295-пп.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Порядку предоставления иных межбюджетных</w:t>
      </w:r>
    </w:p>
    <w:p>
      <w:pPr>
        <w:pStyle w:val="0"/>
        <w:jc w:val="right"/>
      </w:pPr>
      <w:r>
        <w:rPr>
          <w:sz w:val="24"/>
        </w:rPr>
        <w:t xml:space="preserve">трансфертов из федерального бюджета и</w:t>
      </w:r>
    </w:p>
    <w:p>
      <w:pPr>
        <w:pStyle w:val="0"/>
        <w:jc w:val="right"/>
      </w:pPr>
      <w:r>
        <w:rPr>
          <w:sz w:val="24"/>
        </w:rPr>
        <w:t xml:space="preserve">средств областного бюджета на реализацию</w:t>
      </w:r>
    </w:p>
    <w:p>
      <w:pPr>
        <w:pStyle w:val="0"/>
        <w:jc w:val="right"/>
      </w:pPr>
      <w:r>
        <w:rPr>
          <w:sz w:val="24"/>
        </w:rPr>
        <w:t xml:space="preserve">регионального проекта, обеспечивающего</w:t>
      </w:r>
    </w:p>
    <w:p>
      <w:pPr>
        <w:pStyle w:val="0"/>
        <w:jc w:val="right"/>
      </w:pPr>
      <w:r>
        <w:rPr>
          <w:sz w:val="24"/>
        </w:rPr>
        <w:t xml:space="preserve">достижение целей, показателей и результатов</w:t>
      </w:r>
    </w:p>
    <w:p>
      <w:pPr>
        <w:pStyle w:val="0"/>
        <w:jc w:val="right"/>
      </w:pPr>
      <w:r>
        <w:rPr>
          <w:sz w:val="24"/>
        </w:rPr>
        <w:t xml:space="preserve">федерального проекта "Содействие занятости"</w:t>
      </w:r>
    </w:p>
    <w:p>
      <w:pPr>
        <w:pStyle w:val="0"/>
        <w:jc w:val="right"/>
      </w:pPr>
      <w:r>
        <w:rPr>
          <w:sz w:val="24"/>
        </w:rPr>
        <w:t xml:space="preserve">национального проекта "Демография" по</w:t>
      </w:r>
    </w:p>
    <w:p>
      <w:pPr>
        <w:pStyle w:val="0"/>
        <w:jc w:val="right"/>
      </w:pPr>
      <w:r>
        <w:rPr>
          <w:sz w:val="24"/>
        </w:rPr>
        <w:t xml:space="preserve">реализации дополнительных мероприятий,</w:t>
      </w:r>
    </w:p>
    <w:p>
      <w:pPr>
        <w:pStyle w:val="0"/>
        <w:jc w:val="right"/>
      </w:pPr>
      <w:r>
        <w:rPr>
          <w:sz w:val="24"/>
        </w:rPr>
        <w:t xml:space="preserve">направленных на снижение напряженности</w:t>
      </w:r>
    </w:p>
    <w:p>
      <w:pPr>
        <w:pStyle w:val="0"/>
        <w:jc w:val="right"/>
      </w:pPr>
      <w:r>
        <w:rPr>
          <w:sz w:val="24"/>
        </w:rPr>
        <w:t xml:space="preserve">на рынке труда Белгородской области, по</w:t>
      </w:r>
    </w:p>
    <w:p>
      <w:pPr>
        <w:pStyle w:val="0"/>
        <w:jc w:val="right"/>
      </w:pPr>
      <w:r>
        <w:rPr>
          <w:sz w:val="24"/>
        </w:rPr>
        <w:t xml:space="preserve">финансовому обеспечению (возмещению) затрат</w:t>
      </w:r>
    </w:p>
    <w:p>
      <w:pPr>
        <w:pStyle w:val="0"/>
        <w:jc w:val="right"/>
      </w:pPr>
      <w:r>
        <w:rPr>
          <w:sz w:val="24"/>
        </w:rPr>
        <w:t xml:space="preserve">работодателей на организацию профессионального</w:t>
      </w:r>
    </w:p>
    <w:p>
      <w:pPr>
        <w:pStyle w:val="0"/>
        <w:jc w:val="right"/>
      </w:pPr>
      <w:r>
        <w:rPr>
          <w:sz w:val="24"/>
        </w:rPr>
        <w:t xml:space="preserve">обучения и дополнительного профессионального</w:t>
      </w:r>
    </w:p>
    <w:p>
      <w:pPr>
        <w:pStyle w:val="0"/>
        <w:jc w:val="right"/>
      </w:pPr>
      <w:r>
        <w:rPr>
          <w:sz w:val="24"/>
        </w:rPr>
        <w:t xml:space="preserve">образования работников предприятий</w:t>
      </w:r>
    </w:p>
    <w:p>
      <w:pPr>
        <w:pStyle w:val="0"/>
        <w:jc w:val="right"/>
      </w:pPr>
      <w:r>
        <w:rPr>
          <w:sz w:val="24"/>
        </w:rPr>
        <w:t xml:space="preserve">оборонно-промышленного комплекса, а</w:t>
      </w:r>
    </w:p>
    <w:p>
      <w:pPr>
        <w:pStyle w:val="0"/>
        <w:jc w:val="right"/>
      </w:pPr>
      <w:r>
        <w:rPr>
          <w:sz w:val="24"/>
        </w:rPr>
        <w:t xml:space="preserve">также граждан, обратившихся в органы</w:t>
      </w:r>
    </w:p>
    <w:p>
      <w:pPr>
        <w:pStyle w:val="0"/>
        <w:jc w:val="right"/>
      </w:pPr>
      <w:r>
        <w:rPr>
          <w:sz w:val="24"/>
        </w:rPr>
        <w:t xml:space="preserve">службы занятости за содействием в поиске</w:t>
      </w:r>
    </w:p>
    <w:p>
      <w:pPr>
        <w:pStyle w:val="0"/>
        <w:jc w:val="right"/>
      </w:pPr>
      <w:r>
        <w:rPr>
          <w:sz w:val="24"/>
        </w:rPr>
        <w:t xml:space="preserve">подходящей работы и заключивших</w:t>
      </w:r>
    </w:p>
    <w:p>
      <w:pPr>
        <w:pStyle w:val="0"/>
        <w:jc w:val="right"/>
      </w:pPr>
      <w:r>
        <w:rPr>
          <w:sz w:val="24"/>
        </w:rPr>
        <w:t xml:space="preserve">ученический договор с предприятиями</w:t>
      </w:r>
    </w:p>
    <w:p>
      <w:pPr>
        <w:pStyle w:val="0"/>
        <w:jc w:val="right"/>
      </w:pPr>
      <w:r>
        <w:rPr>
          <w:sz w:val="24"/>
        </w:rPr>
        <w:t xml:space="preserve">оборонно-промышленного комплекса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74"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color w:val="392c69"/>
              </w:rPr>
              <w:t xml:space="preserve"> Правительства Белгородской области</w:t>
            </w:r>
          </w:p>
          <w:p>
            <w:pPr>
              <w:pStyle w:val="0"/>
              <w:jc w:val="center"/>
            </w:pPr>
            <w:r>
              <w:rPr>
                <w:sz w:val="24"/>
                <w:color w:val="392c69"/>
              </w:rPr>
              <w:t xml:space="preserve">от 29.05.2023 N 295-пп)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2328"/>
        <w:gridCol w:w="1157"/>
        <w:gridCol w:w="2760"/>
        <w:gridCol w:w="2778"/>
      </w:tblGrid>
      <w:tr>
        <w:tc>
          <w:tcPr>
            <w:gridSpan w:val="4"/>
            <w:tcW w:w="9023" w:type="dxa"/>
            <w:tcBorders>
              <w:top w:val="nil"/>
              <w:left w:val="nil"/>
              <w:bottom w:val="nil"/>
              <w:right w:val="nil"/>
            </w:tcBorders>
          </w:tcPr>
          <w:bookmarkStart w:id="333" w:name="P333"/>
          <w:bookmarkEnd w:id="333"/>
          <w:p>
            <w:pPr>
              <w:pStyle w:val="0"/>
              <w:jc w:val="center"/>
            </w:pPr>
            <w:r>
              <w:rPr>
                <w:sz w:val="24"/>
              </w:rPr>
              <w:t xml:space="preserve">Заявка</w:t>
            </w:r>
          </w:p>
          <w:p>
            <w:pPr>
              <w:pStyle w:val="0"/>
              <w:jc w:val="center"/>
            </w:pPr>
            <w:r>
              <w:rPr>
                <w:sz w:val="24"/>
              </w:rPr>
              <w:t xml:space="preserve">на участие в отборе работодателей, претендующих на предоставление субсидий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w:t>
            </w:r>
          </w:p>
        </w:tc>
      </w:tr>
      <w:tr>
        <w:tc>
          <w:tcPr>
            <w:gridSpan w:val="4"/>
            <w:tcW w:w="9023" w:type="dxa"/>
            <w:tcBorders>
              <w:top w:val="nil"/>
              <w:left w:val="nil"/>
              <w:bottom w:val="nil"/>
              <w:right w:val="nil"/>
            </w:tcBorders>
          </w:tcPr>
          <w:p>
            <w:pPr>
              <w:pStyle w:val="0"/>
              <w:ind w:firstLine="283"/>
              <w:jc w:val="both"/>
            </w:pPr>
            <w:r>
              <w:rPr>
                <w:sz w:val="24"/>
              </w:rPr>
              <w:t xml:space="preserve">Наименование юридического лица/индивидуального предпринимателя:</w:t>
            </w:r>
          </w:p>
          <w:p>
            <w:pPr>
              <w:pStyle w:val="0"/>
              <w:ind w:firstLine="283"/>
              <w:jc w:val="both"/>
            </w:pPr>
            <w:r>
              <w:rPr>
                <w:sz w:val="24"/>
              </w:rPr>
              <w:t xml:space="preserve">_____________________________________________________________________</w:t>
            </w:r>
          </w:p>
          <w:p>
            <w:pPr>
              <w:pStyle w:val="0"/>
              <w:ind w:firstLine="283"/>
              <w:jc w:val="both"/>
            </w:pPr>
            <w:r>
              <w:rPr>
                <w:sz w:val="24"/>
              </w:rPr>
              <w:t xml:space="preserve">Фактический адрес: ____________________________________________________.</w:t>
            </w:r>
          </w:p>
          <w:p>
            <w:pPr>
              <w:pStyle w:val="0"/>
              <w:ind w:firstLine="283"/>
              <w:jc w:val="both"/>
            </w:pPr>
            <w:r>
              <w:rPr>
                <w:sz w:val="24"/>
              </w:rPr>
              <w:t xml:space="preserve">Юридический адрес: ___________________________________________________.</w:t>
            </w:r>
          </w:p>
          <w:p>
            <w:pPr>
              <w:pStyle w:val="0"/>
              <w:ind w:firstLine="283"/>
              <w:jc w:val="both"/>
            </w:pPr>
            <w:r>
              <w:rPr>
                <w:sz w:val="24"/>
              </w:rPr>
              <w:t xml:space="preserve">Контактный телефон (с указанием кода): __________________________________.</w:t>
            </w:r>
          </w:p>
          <w:p>
            <w:pPr>
              <w:pStyle w:val="0"/>
              <w:ind w:firstLine="283"/>
              <w:jc w:val="both"/>
            </w:pPr>
            <w:r>
              <w:rPr>
                <w:sz w:val="24"/>
              </w:rPr>
              <w:t xml:space="preserve">Адрес электронной почты: ______________________________________________.</w:t>
            </w:r>
          </w:p>
          <w:p>
            <w:pPr>
              <w:pStyle w:val="0"/>
              <w:ind w:firstLine="283"/>
              <w:jc w:val="both"/>
            </w:pPr>
            <w:r>
              <w:rPr>
                <w:sz w:val="24"/>
              </w:rPr>
              <w:t xml:space="preserve">Идентификационный номер налогоплательщика (ИНН): _________________.</w:t>
            </w:r>
          </w:p>
          <w:p>
            <w:pPr>
              <w:pStyle w:val="0"/>
              <w:ind w:firstLine="283"/>
              <w:jc w:val="both"/>
            </w:pPr>
            <w:r>
              <w:rPr>
                <w:sz w:val="24"/>
              </w:rPr>
              <w:t xml:space="preserve">Я, ____________________________________________________________________,</w:t>
            </w:r>
          </w:p>
          <w:p>
            <w:pPr>
              <w:pStyle w:val="0"/>
              <w:jc w:val="center"/>
            </w:pPr>
            <w:r>
              <w:rPr>
                <w:sz w:val="24"/>
              </w:rPr>
              <w:t xml:space="preserve">(должность руководителя юридического лица (индивидуального предпринимателя), уполномоченного лица, Ф.И.О.)</w:t>
            </w:r>
          </w:p>
          <w:p>
            <w:pPr>
              <w:pStyle w:val="0"/>
            </w:pPr>
            <w:r>
              <w:rPr>
                <w:sz w:val="24"/>
              </w:rPr>
              <w:t xml:space="preserve">действующий на основании _______________________________________________,</w:t>
            </w:r>
          </w:p>
          <w:p>
            <w:pPr>
              <w:pStyle w:val="0"/>
              <w:ind w:firstLine="283"/>
              <w:jc w:val="both"/>
            </w:pPr>
            <w:r>
              <w:rPr>
                <w:sz w:val="24"/>
              </w:rPr>
              <w:t xml:space="preserve">прошу рассмотреть прилагаемые документы для участия в отборе работодателей, претендующих на предоставление субсидии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(далее - отбор), в соответствии с Порядком предоставления иных межбюджетных трансфертов из федерального бюджета и средств областного бюджета на реализацию регионального проекта, обеспечивающего достижение целей, показателей и результатов федерального проекта "Содействие занятости" национального проекта "Демография" по реализации дополнительных мероприятий, направленных на снижение напряженности на рынке труда Белгородской области, по финансовому обеспечению (возмещению)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утвержденным постановлением Правительства Белгородской области от 26 декабря 2022 года N 805-пп (далее - Порядок);</w:t>
            </w:r>
          </w:p>
          <w:p>
            <w:pPr>
              <w:pStyle w:val="0"/>
              <w:ind w:firstLine="283"/>
              <w:jc w:val="both"/>
            </w:pPr>
            <w:r>
              <w:rPr>
                <w:sz w:val="24"/>
              </w:rPr>
              <w:t xml:space="preserve">даю согласие в случае уменьшения главному распорядителю как получателю бюджетных средств лимитов бюджетных обязательств, доведенных министерству социальной защиты населения и труда Белгородской области на цель, указанную в </w:t>
            </w:r>
            <w:hyperlink w:history="0" w:anchor="P71" w:tooltip="1.2. Целью предоставления субсидии является финансовое обеспечение (возмещение) затрат работодателей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далее соответственно - профессиональное обучение, работники, граждане).">
              <w:r>
                <w:rPr>
                  <w:sz w:val="24"/>
                  <w:color w:val="0000ff"/>
                </w:rPr>
                <w:t xml:space="preserve">пункте 1.2 раздела 1</w:t>
              </w:r>
            </w:hyperlink>
            <w:r>
              <w:rPr>
                <w:sz w:val="24"/>
              </w:rPr>
              <w:t xml:space="preserve"> Порядка, приводящего к невозможности предоставления субсидии в размере, определяемом в договоре (соглашении) о предоставлении субсидии, на согласование сторонами новых условий договора (соглашения) о предоставлении субсидии или расторжение договора (соглашения) о предоставлении субсидии при недостижении согласия по новым условиям;</w:t>
            </w:r>
          </w:p>
          <w:p>
            <w:pPr>
              <w:pStyle w:val="0"/>
              <w:ind w:firstLine="283"/>
              <w:jc w:val="both"/>
            </w:pPr>
            <w:r>
              <w:rPr>
                <w:sz w:val="24"/>
              </w:rPr>
              <w:t xml:space="preserve">даю согласие на обработку персональных данных в соответствии с законодательством Российской Федерации (для индивидуальных предпринимателей).</w:t>
            </w:r>
          </w:p>
        </w:tc>
      </w:tr>
      <w:tr>
        <w:tc>
          <w:tcPr>
            <w:gridSpan w:val="2"/>
            <w:tcW w:w="3485" w:type="dxa"/>
            <w:tcBorders>
              <w:top w:val="nil"/>
              <w:left w:val="nil"/>
              <w:bottom w:val="nil"/>
              <w:right w:val="nil"/>
            </w:tcBorders>
          </w:tcPr>
          <w:p>
            <w:pPr>
              <w:pStyle w:val="0"/>
              <w:jc w:val="center"/>
            </w:pPr>
            <w:r>
              <w:rPr>
                <w:sz w:val="24"/>
              </w:rPr>
              <w:t xml:space="preserve">_________________________</w:t>
            </w:r>
          </w:p>
          <w:p>
            <w:pPr>
              <w:pStyle w:val="0"/>
              <w:jc w:val="center"/>
            </w:pPr>
            <w:r>
              <w:rPr>
                <w:sz w:val="24"/>
              </w:rPr>
              <w:t xml:space="preserve">(руководитель юридического лица (индивидуальный предприниматель))</w:t>
            </w:r>
          </w:p>
        </w:tc>
        <w:tc>
          <w:tcPr>
            <w:tcW w:w="2760" w:type="dxa"/>
            <w:tcBorders>
              <w:top w:val="nil"/>
              <w:left w:val="nil"/>
              <w:bottom w:val="nil"/>
              <w:right w:val="nil"/>
            </w:tcBorders>
          </w:tcPr>
          <w:p>
            <w:pPr>
              <w:pStyle w:val="0"/>
              <w:jc w:val="center"/>
            </w:pPr>
            <w:r>
              <w:rPr>
                <w:sz w:val="24"/>
              </w:rPr>
              <w:t xml:space="preserve">___________________</w:t>
            </w:r>
          </w:p>
          <w:p>
            <w:pPr>
              <w:pStyle w:val="0"/>
              <w:jc w:val="center"/>
            </w:pPr>
            <w:r>
              <w:rPr>
                <w:sz w:val="24"/>
              </w:rPr>
              <w:t xml:space="preserve">(подпись)</w:t>
            </w:r>
          </w:p>
        </w:tc>
        <w:tc>
          <w:tcPr>
            <w:tcW w:w="2778" w:type="dxa"/>
            <w:tcBorders>
              <w:top w:val="nil"/>
              <w:left w:val="nil"/>
              <w:bottom w:val="nil"/>
              <w:right w:val="nil"/>
            </w:tcBorders>
          </w:tcPr>
          <w:p>
            <w:pPr>
              <w:pStyle w:val="0"/>
              <w:jc w:val="center"/>
            </w:pPr>
            <w:r>
              <w:rPr>
                <w:sz w:val="24"/>
              </w:rPr>
              <w:t xml:space="preserve">_____________________</w:t>
            </w:r>
          </w:p>
          <w:p>
            <w:pPr>
              <w:pStyle w:val="0"/>
              <w:jc w:val="center"/>
            </w:pPr>
            <w:r>
              <w:rPr>
                <w:sz w:val="24"/>
              </w:rPr>
              <w:t xml:space="preserve">(расшифровка)</w:t>
            </w:r>
          </w:p>
        </w:tc>
      </w:tr>
      <w:tr>
        <w:tc>
          <w:tcPr>
            <w:tcW w:w="2328" w:type="dxa"/>
            <w:tcBorders>
              <w:top w:val="nil"/>
              <w:left w:val="nil"/>
              <w:bottom w:val="nil"/>
              <w:right w:val="nil"/>
            </w:tcBorders>
          </w:tcPr>
          <w:p>
            <w:pPr>
              <w:pStyle w:val="0"/>
              <w:jc w:val="center"/>
            </w:pPr>
            <w:r>
              <w:rPr>
                <w:sz w:val="24"/>
              </w:rPr>
              <w:t xml:space="preserve">М.П.</w:t>
            </w:r>
          </w:p>
          <w:p>
            <w:pPr>
              <w:pStyle w:val="0"/>
              <w:jc w:val="center"/>
            </w:pPr>
            <w:r>
              <w:rPr>
                <w:sz w:val="24"/>
              </w:rPr>
              <w:t xml:space="preserve">(при наличии)</w:t>
            </w:r>
          </w:p>
        </w:tc>
        <w:tc>
          <w:tcPr>
            <w:tcW w:w="1157" w:type="dxa"/>
            <w:tcBorders>
              <w:top w:val="nil"/>
              <w:left w:val="nil"/>
              <w:bottom w:val="nil"/>
              <w:right w:val="nil"/>
            </w:tcBorders>
          </w:tcPr>
          <w:p>
            <w:pPr>
              <w:pStyle w:val="0"/>
              <w:jc w:val="both"/>
            </w:pPr>
            <w:r>
              <w:rPr>
                <w:sz w:val="24"/>
              </w:rPr>
            </w:r>
          </w:p>
        </w:tc>
        <w:tc>
          <w:tcPr>
            <w:gridSpan w:val="2"/>
            <w:tcW w:w="5538" w:type="dxa"/>
            <w:tcBorders>
              <w:top w:val="nil"/>
              <w:left w:val="nil"/>
              <w:bottom w:val="nil"/>
              <w:right w:val="nil"/>
            </w:tcBorders>
          </w:tcPr>
          <w:p>
            <w:pPr>
              <w:pStyle w:val="0"/>
            </w:pPr>
            <w:r>
              <w:rPr>
                <w:sz w:val="24"/>
              </w:rPr>
            </w:r>
          </w:p>
        </w:tc>
      </w:tr>
      <w:tr>
        <w:tc>
          <w:tcPr>
            <w:gridSpan w:val="2"/>
            <w:tcW w:w="3485" w:type="dxa"/>
            <w:vAlign w:val="bottom"/>
            <w:tcBorders>
              <w:top w:val="nil"/>
              <w:left w:val="nil"/>
              <w:bottom w:val="nil"/>
              <w:right w:val="nil"/>
            </w:tcBorders>
          </w:tcPr>
          <w:p>
            <w:pPr>
              <w:pStyle w:val="0"/>
            </w:pPr>
            <w:r>
              <w:rPr>
                <w:sz w:val="24"/>
              </w:rPr>
              <w:t xml:space="preserve">"___" ___________ 20___ г.</w:t>
            </w:r>
          </w:p>
        </w:tc>
        <w:tc>
          <w:tcPr>
            <w:gridSpan w:val="2"/>
            <w:tcW w:w="5538"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365" w:name="P365"/>
    <w:bookmarkEnd w:id="365"/>
    <w:p>
      <w:pPr>
        <w:pStyle w:val="0"/>
        <w:outlineLvl w:val="1"/>
        <w:jc w:val="right"/>
      </w:pPr>
      <w:r>
        <w:rPr>
          <w:sz w:val="24"/>
        </w:rPr>
        <w:t xml:space="preserve">Приложение N 2</w:t>
      </w:r>
    </w:p>
    <w:p>
      <w:pPr>
        <w:pStyle w:val="0"/>
        <w:jc w:val="right"/>
      </w:pPr>
      <w:r>
        <w:rPr>
          <w:sz w:val="24"/>
        </w:rPr>
        <w:t xml:space="preserve">к Порядку предоставления иных межбюджетных</w:t>
      </w:r>
    </w:p>
    <w:p>
      <w:pPr>
        <w:pStyle w:val="0"/>
        <w:jc w:val="right"/>
      </w:pPr>
      <w:r>
        <w:rPr>
          <w:sz w:val="24"/>
        </w:rPr>
        <w:t xml:space="preserve">трансфертов из федерального бюджета и</w:t>
      </w:r>
    </w:p>
    <w:p>
      <w:pPr>
        <w:pStyle w:val="0"/>
        <w:jc w:val="right"/>
      </w:pPr>
      <w:r>
        <w:rPr>
          <w:sz w:val="24"/>
        </w:rPr>
        <w:t xml:space="preserve">средств областного бюджета на реализацию</w:t>
      </w:r>
    </w:p>
    <w:p>
      <w:pPr>
        <w:pStyle w:val="0"/>
        <w:jc w:val="right"/>
      </w:pPr>
      <w:r>
        <w:rPr>
          <w:sz w:val="24"/>
        </w:rPr>
        <w:t xml:space="preserve">регионального проекта, обеспечивающего</w:t>
      </w:r>
    </w:p>
    <w:p>
      <w:pPr>
        <w:pStyle w:val="0"/>
        <w:jc w:val="right"/>
      </w:pPr>
      <w:r>
        <w:rPr>
          <w:sz w:val="24"/>
        </w:rPr>
        <w:t xml:space="preserve">достижение целей, показателей и результатов</w:t>
      </w:r>
    </w:p>
    <w:p>
      <w:pPr>
        <w:pStyle w:val="0"/>
        <w:jc w:val="right"/>
      </w:pPr>
      <w:r>
        <w:rPr>
          <w:sz w:val="24"/>
        </w:rPr>
        <w:t xml:space="preserve">федерального проекта "Содействие занятости"</w:t>
      </w:r>
    </w:p>
    <w:p>
      <w:pPr>
        <w:pStyle w:val="0"/>
        <w:jc w:val="right"/>
      </w:pPr>
      <w:r>
        <w:rPr>
          <w:sz w:val="24"/>
        </w:rPr>
        <w:t xml:space="preserve">национального проекта "Демография" по</w:t>
      </w:r>
    </w:p>
    <w:p>
      <w:pPr>
        <w:pStyle w:val="0"/>
        <w:jc w:val="right"/>
      </w:pPr>
      <w:r>
        <w:rPr>
          <w:sz w:val="24"/>
        </w:rPr>
        <w:t xml:space="preserve">реализации дополнительных мероприятий,</w:t>
      </w:r>
    </w:p>
    <w:p>
      <w:pPr>
        <w:pStyle w:val="0"/>
        <w:jc w:val="right"/>
      </w:pPr>
      <w:r>
        <w:rPr>
          <w:sz w:val="24"/>
        </w:rPr>
        <w:t xml:space="preserve">направленных на снижение напряженности</w:t>
      </w:r>
    </w:p>
    <w:p>
      <w:pPr>
        <w:pStyle w:val="0"/>
        <w:jc w:val="right"/>
      </w:pPr>
      <w:r>
        <w:rPr>
          <w:sz w:val="24"/>
        </w:rPr>
        <w:t xml:space="preserve">на рынке труда Белгородской области, по</w:t>
      </w:r>
    </w:p>
    <w:p>
      <w:pPr>
        <w:pStyle w:val="0"/>
        <w:jc w:val="right"/>
      </w:pPr>
      <w:r>
        <w:rPr>
          <w:sz w:val="24"/>
        </w:rPr>
        <w:t xml:space="preserve">финансовому обеспечению (возмещению) затрат</w:t>
      </w:r>
    </w:p>
    <w:p>
      <w:pPr>
        <w:pStyle w:val="0"/>
        <w:jc w:val="right"/>
      </w:pPr>
      <w:r>
        <w:rPr>
          <w:sz w:val="24"/>
        </w:rPr>
        <w:t xml:space="preserve">работодателей на организацию профессионального</w:t>
      </w:r>
    </w:p>
    <w:p>
      <w:pPr>
        <w:pStyle w:val="0"/>
        <w:jc w:val="right"/>
      </w:pPr>
      <w:r>
        <w:rPr>
          <w:sz w:val="24"/>
        </w:rPr>
        <w:t xml:space="preserve">обучения и дополнительного профессионального</w:t>
      </w:r>
    </w:p>
    <w:p>
      <w:pPr>
        <w:pStyle w:val="0"/>
        <w:jc w:val="right"/>
      </w:pPr>
      <w:r>
        <w:rPr>
          <w:sz w:val="24"/>
        </w:rPr>
        <w:t xml:space="preserve">образования работников предприятий</w:t>
      </w:r>
    </w:p>
    <w:p>
      <w:pPr>
        <w:pStyle w:val="0"/>
        <w:jc w:val="right"/>
      </w:pPr>
      <w:r>
        <w:rPr>
          <w:sz w:val="24"/>
        </w:rPr>
        <w:t xml:space="preserve">оборонно-промышленного комплекса, а</w:t>
      </w:r>
    </w:p>
    <w:p>
      <w:pPr>
        <w:pStyle w:val="0"/>
        <w:jc w:val="right"/>
      </w:pPr>
      <w:r>
        <w:rPr>
          <w:sz w:val="24"/>
        </w:rPr>
        <w:t xml:space="preserve">также граждан, обратившихся в органы</w:t>
      </w:r>
    </w:p>
    <w:p>
      <w:pPr>
        <w:pStyle w:val="0"/>
        <w:jc w:val="right"/>
      </w:pPr>
      <w:r>
        <w:rPr>
          <w:sz w:val="24"/>
        </w:rPr>
        <w:t xml:space="preserve">службы занятости за содействием в поиске</w:t>
      </w:r>
    </w:p>
    <w:p>
      <w:pPr>
        <w:pStyle w:val="0"/>
        <w:jc w:val="right"/>
      </w:pPr>
      <w:r>
        <w:rPr>
          <w:sz w:val="24"/>
        </w:rPr>
        <w:t xml:space="preserve">подходящей работы и заключивших</w:t>
      </w:r>
    </w:p>
    <w:p>
      <w:pPr>
        <w:pStyle w:val="0"/>
        <w:jc w:val="right"/>
      </w:pPr>
      <w:r>
        <w:rPr>
          <w:sz w:val="24"/>
        </w:rPr>
        <w:t xml:space="preserve">ученический договор с предприятиями</w:t>
      </w:r>
    </w:p>
    <w:p>
      <w:pPr>
        <w:pStyle w:val="0"/>
        <w:jc w:val="right"/>
      </w:pPr>
      <w:r>
        <w:rPr>
          <w:sz w:val="24"/>
        </w:rPr>
        <w:t xml:space="preserve">оборонно-промышленного комплекса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75"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постановления</w:t>
              </w:r>
            </w:hyperlink>
            <w:r>
              <w:rPr>
                <w:sz w:val="24"/>
                <w:color w:val="392c69"/>
              </w:rPr>
              <w:t xml:space="preserve"> Правительства Белгородской области</w:t>
            </w:r>
          </w:p>
          <w:p>
            <w:pPr>
              <w:pStyle w:val="0"/>
              <w:jc w:val="center"/>
            </w:pPr>
            <w:r>
              <w:rPr>
                <w:sz w:val="24"/>
                <w:color w:val="392c69"/>
              </w:rPr>
              <w:t xml:space="preserve">от 29.05.2023 N 295-пп)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4"/>
        </w:rPr>
      </w:r>
    </w:p>
    <w:p>
      <w:pPr>
        <w:pStyle w:val="0"/>
        <w:outlineLvl w:val="2"/>
        <w:jc w:val="right"/>
      </w:pPr>
      <w:r>
        <w:rPr>
          <w:sz w:val="24"/>
        </w:rPr>
        <w:t xml:space="preserve">Форма</w:t>
      </w:r>
    </w:p>
    <w:p>
      <w:pPr>
        <w:pStyle w:val="0"/>
        <w:jc w:val="both"/>
      </w:pPr>
      <w:r>
        <w:rPr>
          <w:sz w:val="24"/>
        </w:rPr>
      </w:r>
    </w:p>
    <w:p>
      <w:pPr>
        <w:pStyle w:val="0"/>
        <w:jc w:val="center"/>
      </w:pPr>
      <w:r>
        <w:rPr>
          <w:sz w:val="24"/>
        </w:rPr>
        <w:t xml:space="preserve">ПОЯСНИТЕЛЬНАЯ ЗАПИСКА</w:t>
      </w:r>
    </w:p>
    <w:p>
      <w:pPr>
        <w:pStyle w:val="0"/>
        <w:jc w:val="center"/>
      </w:pPr>
      <w:r>
        <w:rPr>
          <w:sz w:val="24"/>
        </w:rPr>
        <w:t xml:space="preserve">к заявке на участие в отборе работодателей, претендующих</w:t>
      </w:r>
    </w:p>
    <w:p>
      <w:pPr>
        <w:pStyle w:val="0"/>
        <w:jc w:val="center"/>
      </w:pPr>
      <w:r>
        <w:rPr>
          <w:sz w:val="24"/>
        </w:rPr>
        <w:t xml:space="preserve">на предоставление субсидий на организацию профессионального</w:t>
      </w:r>
    </w:p>
    <w:p>
      <w:pPr>
        <w:pStyle w:val="0"/>
        <w:jc w:val="center"/>
      </w:pPr>
      <w:r>
        <w:rPr>
          <w:sz w:val="24"/>
        </w:rPr>
        <w:t xml:space="preserve">обучения и дополнительного профессионального образования</w:t>
      </w:r>
    </w:p>
    <w:p>
      <w:pPr>
        <w:pStyle w:val="0"/>
        <w:jc w:val="center"/>
      </w:pPr>
      <w:r>
        <w:rPr>
          <w:sz w:val="24"/>
        </w:rPr>
        <w:t xml:space="preserve">работников предприятий оборонно-промышленного комплекса,</w:t>
      </w:r>
    </w:p>
    <w:p>
      <w:pPr>
        <w:pStyle w:val="0"/>
        <w:jc w:val="center"/>
      </w:pPr>
      <w:r>
        <w:rPr>
          <w:sz w:val="24"/>
        </w:rPr>
        <w:t xml:space="preserve">а также граждан, обратившихся в органы службы занятости</w:t>
      </w:r>
    </w:p>
    <w:p>
      <w:pPr>
        <w:pStyle w:val="0"/>
        <w:jc w:val="center"/>
      </w:pPr>
      <w:r>
        <w:rPr>
          <w:sz w:val="24"/>
        </w:rPr>
        <w:t xml:space="preserve">за содействием в поиске подходящей работы и заключивших</w:t>
      </w:r>
    </w:p>
    <w:p>
      <w:pPr>
        <w:pStyle w:val="0"/>
        <w:jc w:val="center"/>
      </w:pPr>
      <w:r>
        <w:rPr>
          <w:sz w:val="24"/>
        </w:rPr>
        <w:t xml:space="preserve">ученический договор с предприятиями</w:t>
      </w:r>
    </w:p>
    <w:p>
      <w:pPr>
        <w:pStyle w:val="0"/>
        <w:jc w:val="center"/>
      </w:pPr>
      <w:r>
        <w:rPr>
          <w:sz w:val="24"/>
        </w:rPr>
        <w:t xml:space="preserve">оборонно-промышленного комплекса</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540"/>
              <w:jc w:val="both"/>
            </w:pPr>
            <w:r>
              <w:rPr>
                <w:sz w:val="24"/>
              </w:rPr>
              <w:t xml:space="preserve">Наименование юридического лица/индивидуального предпринимателя: __________________________________________________________________________</w:t>
            </w:r>
          </w:p>
          <w:p>
            <w:pPr>
              <w:pStyle w:val="0"/>
            </w:pPr>
            <w:r>
              <w:rPr>
                <w:sz w:val="24"/>
              </w:rPr>
              <w:t xml:space="preserve">в лице ____________________________________________________________________</w:t>
            </w:r>
          </w:p>
          <w:p>
            <w:pPr>
              <w:pStyle w:val="0"/>
              <w:jc w:val="center"/>
            </w:pPr>
            <w:r>
              <w:rPr>
                <w:sz w:val="24"/>
              </w:rPr>
              <w:t xml:space="preserve">(фамилия, имя, отчество руководителя работодателя)</w:t>
            </w:r>
          </w:p>
          <w:p>
            <w:pPr>
              <w:pStyle w:val="0"/>
            </w:pPr>
            <w:r>
              <w:rPr>
                <w:sz w:val="24"/>
              </w:rPr>
              <w:t xml:space="preserve">подтверждает, что по состоянию на "__" ___________ 20___ года:</w:t>
            </w:r>
          </w:p>
          <w:p>
            <w:pPr>
              <w:pStyle w:val="0"/>
              <w:ind w:firstLine="540"/>
              <w:jc w:val="both"/>
            </w:pPr>
            <w:r>
              <w:rPr>
                <w:sz w:val="24"/>
              </w:rPr>
              <w:t xml:space="preserve">1) работодатель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pPr>
              <w:pStyle w:val="0"/>
              <w:ind w:firstLine="540"/>
              <w:jc w:val="both"/>
            </w:pPr>
            <w:r>
              <w:rPr>
                <w:sz w:val="24"/>
              </w:rPr>
              <w:t xml:space="preserve">2) работодатель не получает средства из федерального бюджета, бюджета Белгородской области в соответствии с нормативными правовыми актами Российской Федерации, Белгородской области, за исключением средств, получаемых работодателем в соответствии с постановлением Правительства Белгородской области от 26 декабря 2022 года N 805-пп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(далее соответственно - работники, граждане);</w:t>
            </w:r>
          </w:p>
          <w:p>
            <w:pPr>
              <w:pStyle w:val="0"/>
              <w:ind w:firstLine="540"/>
              <w:jc w:val="both"/>
            </w:pPr>
            <w:r>
              <w:rPr>
                <w:sz w:val="24"/>
              </w:rPr>
              <w:t xml:space="preserve">3) работодатель не включен в перечень организаций и физических лиц, в отношении которых имеются сведения об их причастности к экстремистской деятельности или терроризму, либо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pPr>
              <w:pStyle w:val="0"/>
              <w:ind w:firstLine="540"/>
              <w:jc w:val="both"/>
            </w:pPr>
            <w:r>
              <w:rPr>
                <w:sz w:val="24"/>
              </w:rPr>
              <w:t xml:space="preserve">4) работодатель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банкротства (в случае, если работодатель - юридическое лицо), не прекратил деятельность в качестве индивидуального предпринимателя (в случае, если работодатель - индивидуальный предприниматель);</w:t>
            </w:r>
          </w:p>
          <w:p>
            <w:pPr>
              <w:pStyle w:val="0"/>
              <w:ind w:firstLine="540"/>
              <w:jc w:val="both"/>
            </w:pPr>
            <w:r>
              <w:rPr>
                <w:sz w:val="24"/>
              </w:rPr>
              <w:t xml:space="preserve">5) в случае принятия решения о предоставлении субсидии согласен на осуществление министерством социальной защиты населения и труда Белгородской области, органами государственного финансового контроля и областным казенным учреждением "Центр занятости населения Белгородской области" (далее - центр занятости) проверок соблюдения порядка, целей и условий предоставления субсидии (далее - проверка). Работодатель осведомлен; что в случае отказа от проведения проверки центр занятости, с которым заключен договор (соглашение) о предоставлении субсидии, прекращает ее предоставление.</w:t>
            </w:r>
          </w:p>
          <w:p>
            <w:pPr>
              <w:pStyle w:val="0"/>
              <w:ind w:firstLine="540"/>
              <w:jc w:val="both"/>
            </w:pPr>
            <w:r>
              <w:rPr>
                <w:sz w:val="24"/>
              </w:rPr>
              <w:t xml:space="preserve">В случае принятия решения о предоставлении субсидии обязуюсь обеспечить создание (сохранение, модернизацию) рабочих мест на условиях полной занятости для работников и граждан, прошедших профессиональное обучение: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917"/>
        <w:gridCol w:w="2122"/>
      </w:tblGrid>
      <w:tr>
        <w:tc>
          <w:tcPr>
            <w:tcW w:w="6917" w:type="dxa"/>
            <w:vAlign w:val="bottom"/>
          </w:tcPr>
          <w:p>
            <w:pPr>
              <w:pStyle w:val="0"/>
            </w:pPr>
            <w:r>
              <w:rPr>
                <w:sz w:val="24"/>
              </w:rPr>
              <w:t xml:space="preserve">Среднесписочная численность работников, чел.</w:t>
            </w:r>
          </w:p>
        </w:tc>
        <w:tc>
          <w:tcPr>
            <w:tcW w:w="2122" w:type="dxa"/>
          </w:tcPr>
          <w:p>
            <w:pPr>
              <w:pStyle w:val="0"/>
            </w:pPr>
            <w:r>
              <w:rPr>
                <w:sz w:val="24"/>
              </w:rPr>
            </w:r>
          </w:p>
        </w:tc>
      </w:tr>
      <w:tr>
        <w:tc>
          <w:tcPr>
            <w:tcW w:w="6917" w:type="dxa"/>
            <w:vAlign w:val="bottom"/>
          </w:tcPr>
          <w:p>
            <w:pPr>
              <w:pStyle w:val="0"/>
            </w:pPr>
            <w:r>
              <w:rPr>
                <w:sz w:val="24"/>
              </w:rPr>
              <w:t xml:space="preserve">Количество работников и граждан, направляемых на профессиональное обучение, чел.</w:t>
            </w:r>
          </w:p>
        </w:tc>
        <w:tc>
          <w:tcPr>
            <w:tcW w:w="2122" w:type="dxa"/>
          </w:tcPr>
          <w:p>
            <w:pPr>
              <w:pStyle w:val="0"/>
            </w:pPr>
            <w:r>
              <w:rPr>
                <w:sz w:val="24"/>
              </w:rPr>
            </w:r>
          </w:p>
        </w:tc>
      </w:tr>
      <w:tr>
        <w:tc>
          <w:tcPr>
            <w:tcW w:w="6917" w:type="dxa"/>
            <w:vAlign w:val="bottom"/>
          </w:tcPr>
          <w:p>
            <w:pPr>
              <w:pStyle w:val="0"/>
            </w:pPr>
            <w:r>
              <w:rPr>
                <w:sz w:val="24"/>
              </w:rPr>
              <w:t xml:space="preserve">в том числе: работники</w:t>
            </w:r>
          </w:p>
        </w:tc>
        <w:tc>
          <w:tcPr>
            <w:tcW w:w="2122" w:type="dxa"/>
          </w:tcPr>
          <w:p>
            <w:pPr>
              <w:pStyle w:val="0"/>
            </w:pPr>
            <w:r>
              <w:rPr>
                <w:sz w:val="24"/>
              </w:rPr>
            </w:r>
          </w:p>
        </w:tc>
      </w:tr>
      <w:tr>
        <w:tc>
          <w:tcPr>
            <w:tcW w:w="6917" w:type="dxa"/>
            <w:vAlign w:val="bottom"/>
          </w:tcPr>
          <w:p>
            <w:pPr>
              <w:pStyle w:val="0"/>
            </w:pPr>
            <w:r>
              <w:rPr>
                <w:sz w:val="24"/>
              </w:rPr>
              <w:t xml:space="preserve">граждане</w:t>
            </w:r>
          </w:p>
        </w:tc>
        <w:tc>
          <w:tcPr>
            <w:tcW w:w="2122" w:type="dxa"/>
          </w:tcPr>
          <w:p>
            <w:pPr>
              <w:pStyle w:val="0"/>
            </w:pPr>
            <w:r>
              <w:rPr>
                <w:sz w:val="24"/>
              </w:rPr>
            </w:r>
          </w:p>
        </w:tc>
      </w:tr>
      <w:tr>
        <w:tc>
          <w:tcPr>
            <w:tcW w:w="6917" w:type="dxa"/>
            <w:vAlign w:val="bottom"/>
          </w:tcPr>
          <w:p>
            <w:pPr>
              <w:pStyle w:val="0"/>
            </w:pPr>
            <w:r>
              <w:rPr>
                <w:sz w:val="24"/>
              </w:rPr>
              <w:t xml:space="preserve">Средняя стоимость профессионального обучения, руб.</w:t>
            </w:r>
          </w:p>
        </w:tc>
        <w:tc>
          <w:tcPr>
            <w:tcW w:w="2122" w:type="dxa"/>
          </w:tcPr>
          <w:p>
            <w:pPr>
              <w:pStyle w:val="0"/>
            </w:pPr>
            <w:r>
              <w:rPr>
                <w:sz w:val="24"/>
              </w:rPr>
            </w:r>
          </w:p>
        </w:tc>
      </w:tr>
      <w:tr>
        <w:tc>
          <w:tcPr>
            <w:tcW w:w="6917" w:type="dxa"/>
            <w:vAlign w:val="bottom"/>
          </w:tcPr>
          <w:p>
            <w:pPr>
              <w:pStyle w:val="0"/>
            </w:pPr>
            <w:r>
              <w:rPr>
                <w:sz w:val="24"/>
              </w:rPr>
              <w:t xml:space="preserve">Планируемый период профессионального обучения, мес.</w:t>
            </w:r>
          </w:p>
        </w:tc>
        <w:tc>
          <w:tcPr>
            <w:tcW w:w="2122" w:type="dxa"/>
          </w:tcPr>
          <w:p>
            <w:pPr>
              <w:pStyle w:val="0"/>
            </w:pPr>
            <w:r>
              <w:rPr>
                <w:sz w:val="24"/>
              </w:rPr>
            </w:r>
          </w:p>
        </w:tc>
      </w:tr>
      <w:tr>
        <w:tc>
          <w:tcPr>
            <w:tcW w:w="6917" w:type="dxa"/>
            <w:vAlign w:val="bottom"/>
          </w:tcPr>
          <w:p>
            <w:pPr>
              <w:pStyle w:val="0"/>
            </w:pPr>
            <w:r>
              <w:rPr>
                <w:sz w:val="24"/>
              </w:rPr>
              <w:t xml:space="preserve">Планируемое количество учебных часов для профессионального обучения (по каждому из его направлений), ч.</w:t>
            </w:r>
          </w:p>
        </w:tc>
        <w:tc>
          <w:tcPr>
            <w:tcW w:w="2122" w:type="dxa"/>
          </w:tcPr>
          <w:p>
            <w:pPr>
              <w:pStyle w:val="0"/>
            </w:pPr>
            <w:r>
              <w:rPr>
                <w:sz w:val="24"/>
              </w:rPr>
            </w:r>
          </w:p>
        </w:tc>
      </w:tr>
      <w:tr>
        <w:tc>
          <w:tcPr>
            <w:tcW w:w="6917" w:type="dxa"/>
            <w:vAlign w:val="bottom"/>
          </w:tcPr>
          <w:p>
            <w:pPr>
              <w:pStyle w:val="0"/>
            </w:pPr>
            <w:r>
              <w:rPr>
                <w:sz w:val="24"/>
              </w:rPr>
              <w:t xml:space="preserve">Объем субсидии, предоставляемой на организацию профессионального обучения работников и граждан, руб.</w:t>
            </w:r>
          </w:p>
        </w:tc>
        <w:tc>
          <w:tcPr>
            <w:tcW w:w="2122"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160"/>
        <w:gridCol w:w="2582"/>
        <w:gridCol w:w="1704"/>
        <w:gridCol w:w="2608"/>
      </w:tblGrid>
      <w:tr>
        <w:tc>
          <w:tcPr>
            <w:gridSpan w:val="2"/>
            <w:tcW w:w="4742" w:type="dxa"/>
            <w:tcBorders>
              <w:top w:val="nil"/>
              <w:left w:val="nil"/>
              <w:bottom w:val="nil"/>
              <w:right w:val="nil"/>
            </w:tcBorders>
          </w:tcPr>
          <w:p>
            <w:pPr>
              <w:pStyle w:val="0"/>
            </w:pPr>
            <w:r>
              <w:rPr>
                <w:sz w:val="24"/>
              </w:rPr>
              <w:t xml:space="preserve">Руководитель</w:t>
            </w:r>
          </w:p>
          <w:p>
            <w:pPr>
              <w:pStyle w:val="0"/>
            </w:pPr>
            <w:r>
              <w:rPr>
                <w:sz w:val="24"/>
              </w:rPr>
              <w:t xml:space="preserve">юридического лица</w:t>
            </w:r>
          </w:p>
          <w:p>
            <w:pPr>
              <w:pStyle w:val="0"/>
            </w:pPr>
            <w:r>
              <w:rPr>
                <w:sz w:val="24"/>
              </w:rPr>
              <w:t xml:space="preserve">(индивидуальный предприниматель)</w:t>
            </w:r>
          </w:p>
        </w:tc>
        <w:tc>
          <w:tcPr>
            <w:tcW w:w="1704" w:type="dxa"/>
            <w:vAlign w:val="bottom"/>
            <w:tcBorders>
              <w:top w:val="nil"/>
              <w:left w:val="nil"/>
              <w:bottom w:val="nil"/>
              <w:right w:val="nil"/>
            </w:tcBorders>
          </w:tcPr>
          <w:p>
            <w:pPr>
              <w:pStyle w:val="0"/>
              <w:jc w:val="center"/>
            </w:pPr>
            <w:r>
              <w:rPr>
                <w:sz w:val="24"/>
              </w:rPr>
              <w:t xml:space="preserve">____________</w:t>
            </w:r>
          </w:p>
        </w:tc>
        <w:tc>
          <w:tcPr>
            <w:tcW w:w="2608" w:type="dxa"/>
            <w:vAlign w:val="bottom"/>
            <w:tcBorders>
              <w:top w:val="nil"/>
              <w:left w:val="nil"/>
              <w:bottom w:val="nil"/>
              <w:right w:val="nil"/>
            </w:tcBorders>
          </w:tcPr>
          <w:p>
            <w:pPr>
              <w:pStyle w:val="0"/>
              <w:jc w:val="center"/>
            </w:pPr>
            <w:r>
              <w:rPr>
                <w:sz w:val="24"/>
              </w:rPr>
              <w:t xml:space="preserve">____________________</w:t>
            </w:r>
          </w:p>
        </w:tc>
      </w:tr>
      <w:tr>
        <w:tc>
          <w:tcPr>
            <w:gridSpan w:val="2"/>
            <w:tcW w:w="4742" w:type="dxa"/>
            <w:tcBorders>
              <w:top w:val="nil"/>
              <w:left w:val="nil"/>
              <w:bottom w:val="nil"/>
              <w:right w:val="nil"/>
            </w:tcBorders>
          </w:tcPr>
          <w:p>
            <w:pPr>
              <w:pStyle w:val="0"/>
            </w:pPr>
            <w:r>
              <w:rPr>
                <w:sz w:val="24"/>
              </w:rPr>
            </w:r>
          </w:p>
        </w:tc>
        <w:tc>
          <w:tcPr>
            <w:tcW w:w="1704" w:type="dxa"/>
            <w:vAlign w:val="bottom"/>
            <w:tcBorders>
              <w:top w:val="nil"/>
              <w:left w:val="nil"/>
              <w:bottom w:val="nil"/>
              <w:right w:val="nil"/>
            </w:tcBorders>
          </w:tcPr>
          <w:p>
            <w:pPr>
              <w:pStyle w:val="0"/>
              <w:jc w:val="center"/>
            </w:pPr>
            <w:r>
              <w:rPr>
                <w:sz w:val="24"/>
              </w:rPr>
              <w:t xml:space="preserve">(подпись)</w:t>
            </w:r>
          </w:p>
        </w:tc>
        <w:tc>
          <w:tcPr>
            <w:tcW w:w="2608" w:type="dxa"/>
            <w:vAlign w:val="bottom"/>
            <w:tcBorders>
              <w:top w:val="nil"/>
              <w:left w:val="nil"/>
              <w:bottom w:val="nil"/>
              <w:right w:val="nil"/>
            </w:tcBorders>
          </w:tcPr>
          <w:p>
            <w:pPr>
              <w:pStyle w:val="0"/>
              <w:jc w:val="center"/>
            </w:pPr>
            <w:r>
              <w:rPr>
                <w:sz w:val="24"/>
              </w:rPr>
              <w:t xml:space="preserve">(расшифровка подписи)</w:t>
            </w:r>
          </w:p>
        </w:tc>
      </w:tr>
      <w:tr>
        <w:tc>
          <w:tcPr>
            <w:gridSpan w:val="2"/>
            <w:tcW w:w="4742" w:type="dxa"/>
            <w:tcBorders>
              <w:top w:val="nil"/>
              <w:left w:val="nil"/>
              <w:bottom w:val="nil"/>
              <w:right w:val="nil"/>
            </w:tcBorders>
          </w:tcPr>
          <w:p>
            <w:pPr>
              <w:pStyle w:val="0"/>
            </w:pPr>
            <w:r>
              <w:rPr>
                <w:sz w:val="24"/>
              </w:rPr>
              <w:t xml:space="preserve">Главный бухгалтер</w:t>
            </w:r>
          </w:p>
          <w:p>
            <w:pPr>
              <w:pStyle w:val="0"/>
            </w:pPr>
            <w:r>
              <w:rPr>
                <w:sz w:val="24"/>
              </w:rPr>
              <w:t xml:space="preserve">(при наличии)</w:t>
            </w:r>
          </w:p>
        </w:tc>
        <w:tc>
          <w:tcPr>
            <w:tcW w:w="1704" w:type="dxa"/>
            <w:vAlign w:val="bottom"/>
            <w:tcBorders>
              <w:top w:val="nil"/>
              <w:left w:val="nil"/>
              <w:bottom w:val="nil"/>
              <w:right w:val="nil"/>
            </w:tcBorders>
          </w:tcPr>
          <w:p>
            <w:pPr>
              <w:pStyle w:val="0"/>
              <w:jc w:val="center"/>
            </w:pPr>
            <w:r>
              <w:rPr>
                <w:sz w:val="24"/>
              </w:rPr>
              <w:t xml:space="preserve">____________</w:t>
            </w:r>
          </w:p>
        </w:tc>
        <w:tc>
          <w:tcPr>
            <w:tcW w:w="2608" w:type="dxa"/>
            <w:vAlign w:val="bottom"/>
            <w:tcBorders>
              <w:top w:val="nil"/>
              <w:left w:val="nil"/>
              <w:bottom w:val="nil"/>
              <w:right w:val="nil"/>
            </w:tcBorders>
          </w:tcPr>
          <w:p>
            <w:pPr>
              <w:pStyle w:val="0"/>
              <w:jc w:val="center"/>
            </w:pPr>
            <w:r>
              <w:rPr>
                <w:sz w:val="24"/>
              </w:rPr>
              <w:t xml:space="preserve">____________________</w:t>
            </w:r>
          </w:p>
        </w:tc>
      </w:tr>
      <w:tr>
        <w:tc>
          <w:tcPr>
            <w:gridSpan w:val="2"/>
            <w:tcW w:w="4742" w:type="dxa"/>
            <w:tcBorders>
              <w:top w:val="nil"/>
              <w:left w:val="nil"/>
              <w:bottom w:val="nil"/>
              <w:right w:val="nil"/>
            </w:tcBorders>
          </w:tcPr>
          <w:p>
            <w:pPr>
              <w:pStyle w:val="0"/>
            </w:pPr>
            <w:r>
              <w:rPr>
                <w:sz w:val="24"/>
              </w:rPr>
            </w:r>
          </w:p>
        </w:tc>
        <w:tc>
          <w:tcPr>
            <w:tcW w:w="1704" w:type="dxa"/>
            <w:vAlign w:val="bottom"/>
            <w:tcBorders>
              <w:top w:val="nil"/>
              <w:left w:val="nil"/>
              <w:bottom w:val="nil"/>
              <w:right w:val="nil"/>
            </w:tcBorders>
          </w:tcPr>
          <w:p>
            <w:pPr>
              <w:pStyle w:val="0"/>
              <w:jc w:val="center"/>
            </w:pPr>
            <w:r>
              <w:rPr>
                <w:sz w:val="24"/>
              </w:rPr>
              <w:t xml:space="preserve">(подпись)</w:t>
            </w:r>
          </w:p>
        </w:tc>
        <w:tc>
          <w:tcPr>
            <w:tcW w:w="2608" w:type="dxa"/>
            <w:vAlign w:val="bottom"/>
            <w:tcBorders>
              <w:top w:val="nil"/>
              <w:left w:val="nil"/>
              <w:bottom w:val="nil"/>
              <w:right w:val="nil"/>
            </w:tcBorders>
          </w:tcPr>
          <w:p>
            <w:pPr>
              <w:pStyle w:val="0"/>
              <w:jc w:val="center"/>
            </w:pPr>
            <w:r>
              <w:rPr>
                <w:sz w:val="24"/>
              </w:rPr>
              <w:t xml:space="preserve">(расшифровка подписи)</w:t>
            </w:r>
          </w:p>
        </w:tc>
      </w:tr>
      <w:tr>
        <w:tc>
          <w:tcPr>
            <w:tcW w:w="2160" w:type="dxa"/>
            <w:tcBorders>
              <w:top w:val="nil"/>
              <w:left w:val="nil"/>
              <w:bottom w:val="nil"/>
              <w:right w:val="nil"/>
            </w:tcBorders>
          </w:tcPr>
          <w:p>
            <w:pPr>
              <w:pStyle w:val="0"/>
              <w:jc w:val="center"/>
            </w:pPr>
            <w:r>
              <w:rPr>
                <w:sz w:val="24"/>
              </w:rPr>
              <w:t xml:space="preserve">М.П.</w:t>
            </w:r>
          </w:p>
          <w:p>
            <w:pPr>
              <w:pStyle w:val="0"/>
              <w:jc w:val="center"/>
            </w:pPr>
            <w:r>
              <w:rPr>
                <w:sz w:val="24"/>
              </w:rPr>
              <w:t xml:space="preserve">(при наличии)</w:t>
            </w:r>
          </w:p>
        </w:tc>
        <w:tc>
          <w:tcPr>
            <w:tcW w:w="2582" w:type="dxa"/>
            <w:tcBorders>
              <w:top w:val="nil"/>
              <w:left w:val="nil"/>
              <w:bottom w:val="nil"/>
              <w:right w:val="nil"/>
            </w:tcBorders>
          </w:tcPr>
          <w:p>
            <w:pPr>
              <w:pStyle w:val="0"/>
              <w:jc w:val="both"/>
            </w:pPr>
            <w:r>
              <w:rPr>
                <w:sz w:val="24"/>
              </w:rPr>
            </w:r>
          </w:p>
        </w:tc>
        <w:tc>
          <w:tcPr>
            <w:gridSpan w:val="2"/>
            <w:tcW w:w="4312" w:type="dxa"/>
            <w:tcBorders>
              <w:top w:val="nil"/>
              <w:left w:val="nil"/>
              <w:bottom w:val="nil"/>
              <w:right w:val="nil"/>
            </w:tcBorders>
          </w:tcPr>
          <w:p>
            <w:pPr>
              <w:pStyle w:val="0"/>
            </w:pPr>
            <w:r>
              <w:rPr>
                <w:sz w:val="24"/>
              </w:rPr>
            </w:r>
          </w:p>
        </w:tc>
      </w:tr>
      <w:tr>
        <w:tc>
          <w:tcPr>
            <w:gridSpan w:val="2"/>
            <w:tcW w:w="4742" w:type="dxa"/>
            <w:vAlign w:val="center"/>
            <w:tcBorders>
              <w:top w:val="nil"/>
              <w:left w:val="nil"/>
              <w:bottom w:val="nil"/>
              <w:right w:val="nil"/>
            </w:tcBorders>
          </w:tcPr>
          <w:p>
            <w:pPr>
              <w:pStyle w:val="0"/>
            </w:pPr>
            <w:r>
              <w:rPr>
                <w:sz w:val="24"/>
              </w:rPr>
              <w:t xml:space="preserve">"___" ___________ 20__ г.</w:t>
            </w:r>
          </w:p>
        </w:tc>
        <w:tc>
          <w:tcPr>
            <w:gridSpan w:val="2"/>
            <w:tcW w:w="4312"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r>
    </w:p>
    <w:p>
      <w:pPr>
        <w:pStyle w:val="0"/>
        <w:ind w:firstLine="540"/>
        <w:jc w:val="both"/>
      </w:pPr>
      <w:r>
        <w:rPr>
          <w:sz w:val="24"/>
        </w:rPr>
      </w:r>
    </w:p>
    <w:p>
      <w:pPr>
        <w:pStyle w:val="0"/>
        <w:outlineLvl w:val="2"/>
        <w:jc w:val="center"/>
      </w:pPr>
      <w:r>
        <w:rPr>
          <w:sz w:val="24"/>
        </w:rPr>
        <w:t xml:space="preserve">Информация об организации профессионального обучения</w:t>
      </w:r>
    </w:p>
    <w:p>
      <w:pPr>
        <w:pStyle w:val="0"/>
        <w:jc w:val="center"/>
      </w:pPr>
      <w:r>
        <w:rPr>
          <w:sz w:val="24"/>
        </w:rPr>
        <w:t xml:space="preserve">и дополнительного профессионального образования работников</w:t>
      </w:r>
    </w:p>
    <w:p>
      <w:pPr>
        <w:pStyle w:val="0"/>
        <w:jc w:val="center"/>
      </w:pPr>
      <w:r>
        <w:rPr>
          <w:sz w:val="24"/>
        </w:rPr>
        <w:t xml:space="preserve">предприятий оборонно-промышленного комплекса, а также</w:t>
      </w:r>
    </w:p>
    <w:p>
      <w:pPr>
        <w:pStyle w:val="0"/>
        <w:jc w:val="center"/>
      </w:pPr>
      <w:r>
        <w:rPr>
          <w:sz w:val="24"/>
        </w:rPr>
        <w:t xml:space="preserve">граждан, обратившихся в органы службы занятости</w:t>
      </w:r>
    </w:p>
    <w:p>
      <w:pPr>
        <w:pStyle w:val="0"/>
        <w:jc w:val="center"/>
      </w:pPr>
      <w:r>
        <w:rPr>
          <w:sz w:val="24"/>
        </w:rPr>
        <w:t xml:space="preserve">за содействием в поиске подходящей работы и заключивших</w:t>
      </w:r>
    </w:p>
    <w:p>
      <w:pPr>
        <w:pStyle w:val="0"/>
        <w:jc w:val="center"/>
      </w:pPr>
      <w:r>
        <w:rPr>
          <w:sz w:val="24"/>
        </w:rPr>
        <w:t xml:space="preserve">ученический договор с предприятиями</w:t>
      </w:r>
    </w:p>
    <w:p>
      <w:pPr>
        <w:pStyle w:val="0"/>
        <w:jc w:val="center"/>
      </w:pPr>
      <w:r>
        <w:rPr>
          <w:sz w:val="24"/>
        </w:rPr>
        <w:t xml:space="preserve">оборонно-промышленного комплекса</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665"/>
        <w:gridCol w:w="964"/>
        <w:gridCol w:w="1864"/>
        <w:gridCol w:w="2381"/>
        <w:gridCol w:w="1069"/>
        <w:gridCol w:w="1234"/>
        <w:gridCol w:w="1594"/>
      </w:tblGrid>
      <w:tr>
        <w:tc>
          <w:tcPr>
            <w:tcW w:w="454" w:type="dxa"/>
            <w:vMerge w:val="restart"/>
          </w:tcPr>
          <w:p>
            <w:pPr>
              <w:pStyle w:val="0"/>
              <w:jc w:val="center"/>
            </w:pPr>
            <w:r>
              <w:rPr>
                <w:sz w:val="24"/>
              </w:rPr>
              <w:t xml:space="preserve">N п/п</w:t>
            </w:r>
          </w:p>
        </w:tc>
        <w:tc>
          <w:tcPr>
            <w:gridSpan w:val="2"/>
            <w:tcW w:w="3629" w:type="dxa"/>
          </w:tcPr>
          <w:p>
            <w:pPr>
              <w:pStyle w:val="0"/>
              <w:jc w:val="center"/>
            </w:pPr>
            <w:r>
              <w:rPr>
                <w:sz w:val="24"/>
              </w:rPr>
              <w:t xml:space="preserve">Информация о работниках и гражданах, направляемых на обучение</w:t>
            </w:r>
          </w:p>
        </w:tc>
        <w:tc>
          <w:tcPr>
            <w:tcW w:w="1864" w:type="dxa"/>
            <w:vMerge w:val="restart"/>
          </w:tcPr>
          <w:p>
            <w:pPr>
              <w:pStyle w:val="0"/>
              <w:jc w:val="center"/>
            </w:pPr>
            <w:r>
              <w:rPr>
                <w:sz w:val="24"/>
              </w:rPr>
              <w:t xml:space="preserve">Наименование образовательных организаций, на базе которых планируется организация обучения</w:t>
            </w:r>
          </w:p>
        </w:tc>
        <w:tc>
          <w:tcPr>
            <w:tcW w:w="2381" w:type="dxa"/>
            <w:vMerge w:val="restart"/>
          </w:tcPr>
          <w:p>
            <w:pPr>
              <w:pStyle w:val="0"/>
              <w:jc w:val="center"/>
            </w:pPr>
            <w:r>
              <w:rPr>
                <w:sz w:val="24"/>
              </w:rPr>
              <w:t xml:space="preserve">Наименование профессий, специальностей, образовательных программ, по которым будет организовано профессиональное обучение</w:t>
            </w:r>
          </w:p>
        </w:tc>
        <w:tc>
          <w:tcPr>
            <w:tcW w:w="1069" w:type="dxa"/>
            <w:vMerge w:val="restart"/>
          </w:tcPr>
          <w:p>
            <w:pPr>
              <w:pStyle w:val="0"/>
              <w:jc w:val="center"/>
            </w:pPr>
            <w:r>
              <w:rPr>
                <w:sz w:val="24"/>
              </w:rPr>
              <w:t xml:space="preserve">Срок обучения</w:t>
            </w:r>
          </w:p>
        </w:tc>
        <w:tc>
          <w:tcPr>
            <w:tcW w:w="1234" w:type="dxa"/>
            <w:vMerge w:val="restart"/>
          </w:tcPr>
          <w:p>
            <w:pPr>
              <w:pStyle w:val="0"/>
              <w:jc w:val="center"/>
            </w:pPr>
            <w:r>
              <w:rPr>
                <w:sz w:val="24"/>
              </w:rPr>
              <w:t xml:space="preserve">Стоимость обучения 1 человека, руб.</w:t>
            </w:r>
          </w:p>
        </w:tc>
        <w:tc>
          <w:tcPr>
            <w:tcW w:w="1594" w:type="dxa"/>
            <w:vMerge w:val="restart"/>
          </w:tcPr>
          <w:p>
            <w:pPr>
              <w:pStyle w:val="0"/>
              <w:jc w:val="center"/>
            </w:pPr>
            <w:r>
              <w:rPr>
                <w:sz w:val="24"/>
              </w:rPr>
              <w:t xml:space="preserve">Объем средств, направляемых на организацию обучения, тыс. руб.</w:t>
            </w:r>
          </w:p>
        </w:tc>
      </w:tr>
      <w:tr>
        <w:tc>
          <w:tcPr>
            <w:vMerge w:val="continue"/>
          </w:tcPr>
          <w:p/>
        </w:tc>
        <w:tc>
          <w:tcPr>
            <w:tcW w:w="2665" w:type="dxa"/>
          </w:tcPr>
          <w:p>
            <w:pPr>
              <w:pStyle w:val="0"/>
              <w:jc w:val="center"/>
            </w:pPr>
            <w:r>
              <w:rPr>
                <w:sz w:val="24"/>
              </w:rPr>
              <w:t xml:space="preserve">профессионально-квалификационный состав работников и граждан, направляемых на обучение</w:t>
            </w:r>
          </w:p>
        </w:tc>
        <w:tc>
          <w:tcPr>
            <w:tcW w:w="964" w:type="dxa"/>
          </w:tcPr>
          <w:p>
            <w:pPr>
              <w:pStyle w:val="0"/>
              <w:jc w:val="center"/>
            </w:pPr>
            <w:r>
              <w:rPr>
                <w:sz w:val="24"/>
              </w:rPr>
              <w:t xml:space="preserve">численность, чел.</w:t>
            </w:r>
          </w:p>
        </w:tc>
        <w:tc>
          <w:tcPr>
            <w:vMerge w:val="continue"/>
          </w:tcPr>
          <w:p/>
        </w:tc>
        <w:tc>
          <w:tcPr>
            <w:vMerge w:val="continue"/>
          </w:tcPr>
          <w:p/>
        </w:tc>
        <w:tc>
          <w:tcPr>
            <w:vMerge w:val="continue"/>
          </w:tcPr>
          <w:p/>
        </w:tc>
        <w:tc>
          <w:tcPr>
            <w:vMerge w:val="continue"/>
          </w:tcPr>
          <w:p/>
        </w:tc>
        <w:tc>
          <w:tcPr>
            <w:vMerge w:val="continue"/>
          </w:tcPr>
          <w:p/>
        </w:tc>
      </w:tr>
      <w:tr>
        <w:tc>
          <w:tcPr>
            <w:tcW w:w="454" w:type="dxa"/>
          </w:tcPr>
          <w:p>
            <w:pPr>
              <w:pStyle w:val="0"/>
            </w:pPr>
            <w:r>
              <w:rPr>
                <w:sz w:val="24"/>
              </w:rPr>
            </w:r>
          </w:p>
        </w:tc>
        <w:tc>
          <w:tcPr>
            <w:tcW w:w="2665" w:type="dxa"/>
          </w:tcPr>
          <w:p>
            <w:pPr>
              <w:pStyle w:val="0"/>
            </w:pPr>
            <w:r>
              <w:rPr>
                <w:sz w:val="24"/>
              </w:rPr>
            </w:r>
          </w:p>
        </w:tc>
        <w:tc>
          <w:tcPr>
            <w:tcW w:w="964" w:type="dxa"/>
          </w:tcPr>
          <w:p>
            <w:pPr>
              <w:pStyle w:val="0"/>
            </w:pPr>
            <w:r>
              <w:rPr>
                <w:sz w:val="24"/>
              </w:rPr>
            </w:r>
          </w:p>
        </w:tc>
        <w:tc>
          <w:tcPr>
            <w:tcW w:w="1864" w:type="dxa"/>
          </w:tcPr>
          <w:p>
            <w:pPr>
              <w:pStyle w:val="0"/>
            </w:pPr>
            <w:r>
              <w:rPr>
                <w:sz w:val="24"/>
              </w:rPr>
            </w:r>
          </w:p>
        </w:tc>
        <w:tc>
          <w:tcPr>
            <w:tcW w:w="2381" w:type="dxa"/>
          </w:tcPr>
          <w:p>
            <w:pPr>
              <w:pStyle w:val="0"/>
            </w:pPr>
            <w:r>
              <w:rPr>
                <w:sz w:val="24"/>
              </w:rPr>
            </w:r>
          </w:p>
        </w:tc>
        <w:tc>
          <w:tcPr>
            <w:tcW w:w="1069" w:type="dxa"/>
          </w:tcPr>
          <w:p>
            <w:pPr>
              <w:pStyle w:val="0"/>
            </w:pPr>
            <w:r>
              <w:rPr>
                <w:sz w:val="24"/>
              </w:rPr>
            </w:r>
          </w:p>
        </w:tc>
        <w:tc>
          <w:tcPr>
            <w:tcW w:w="1234" w:type="dxa"/>
          </w:tcPr>
          <w:p>
            <w:pPr>
              <w:pStyle w:val="0"/>
            </w:pPr>
            <w:r>
              <w:rPr>
                <w:sz w:val="24"/>
              </w:rPr>
            </w:r>
          </w:p>
        </w:tc>
        <w:tc>
          <w:tcPr>
            <w:tcW w:w="1594" w:type="dxa"/>
          </w:tcPr>
          <w:p>
            <w:pPr>
              <w:pStyle w:val="0"/>
            </w:pPr>
            <w:r>
              <w:rPr>
                <w:sz w:val="24"/>
              </w:rPr>
            </w:r>
          </w:p>
        </w:tc>
      </w:tr>
      <w:tr>
        <w:tc>
          <w:tcPr>
            <w:tcW w:w="454" w:type="dxa"/>
          </w:tcPr>
          <w:p>
            <w:pPr>
              <w:pStyle w:val="0"/>
            </w:pPr>
            <w:r>
              <w:rPr>
                <w:sz w:val="24"/>
              </w:rPr>
            </w:r>
          </w:p>
        </w:tc>
        <w:tc>
          <w:tcPr>
            <w:tcW w:w="2665" w:type="dxa"/>
          </w:tcPr>
          <w:p>
            <w:pPr>
              <w:pStyle w:val="0"/>
            </w:pPr>
            <w:r>
              <w:rPr>
                <w:sz w:val="24"/>
              </w:rPr>
            </w:r>
          </w:p>
        </w:tc>
        <w:tc>
          <w:tcPr>
            <w:tcW w:w="964" w:type="dxa"/>
          </w:tcPr>
          <w:p>
            <w:pPr>
              <w:pStyle w:val="0"/>
            </w:pPr>
            <w:r>
              <w:rPr>
                <w:sz w:val="24"/>
              </w:rPr>
            </w:r>
          </w:p>
        </w:tc>
        <w:tc>
          <w:tcPr>
            <w:tcW w:w="1864" w:type="dxa"/>
          </w:tcPr>
          <w:p>
            <w:pPr>
              <w:pStyle w:val="0"/>
            </w:pPr>
            <w:r>
              <w:rPr>
                <w:sz w:val="24"/>
              </w:rPr>
            </w:r>
          </w:p>
        </w:tc>
        <w:tc>
          <w:tcPr>
            <w:tcW w:w="2381" w:type="dxa"/>
          </w:tcPr>
          <w:p>
            <w:pPr>
              <w:pStyle w:val="0"/>
            </w:pPr>
            <w:r>
              <w:rPr>
                <w:sz w:val="24"/>
              </w:rPr>
            </w:r>
          </w:p>
        </w:tc>
        <w:tc>
          <w:tcPr>
            <w:tcW w:w="1069" w:type="dxa"/>
          </w:tcPr>
          <w:p>
            <w:pPr>
              <w:pStyle w:val="0"/>
            </w:pPr>
            <w:r>
              <w:rPr>
                <w:sz w:val="24"/>
              </w:rPr>
            </w:r>
          </w:p>
        </w:tc>
        <w:tc>
          <w:tcPr>
            <w:tcW w:w="1234" w:type="dxa"/>
          </w:tcPr>
          <w:p>
            <w:pPr>
              <w:pStyle w:val="0"/>
            </w:pPr>
            <w:r>
              <w:rPr>
                <w:sz w:val="24"/>
              </w:rPr>
            </w:r>
          </w:p>
        </w:tc>
        <w:tc>
          <w:tcPr>
            <w:tcW w:w="1594" w:type="dxa"/>
          </w:tcPr>
          <w:p>
            <w:pPr>
              <w:pStyle w:val="0"/>
            </w:pPr>
            <w:r>
              <w:rPr>
                <w:sz w:val="24"/>
              </w:rPr>
            </w:r>
          </w:p>
        </w:tc>
      </w:tr>
      <w:tr>
        <w:tc>
          <w:tcPr>
            <w:tcW w:w="454" w:type="dxa"/>
          </w:tcPr>
          <w:p>
            <w:pPr>
              <w:pStyle w:val="0"/>
            </w:pPr>
            <w:r>
              <w:rPr>
                <w:sz w:val="24"/>
              </w:rPr>
            </w:r>
          </w:p>
        </w:tc>
        <w:tc>
          <w:tcPr>
            <w:tcW w:w="2665" w:type="dxa"/>
          </w:tcPr>
          <w:p>
            <w:pPr>
              <w:pStyle w:val="0"/>
            </w:pPr>
            <w:r>
              <w:rPr>
                <w:sz w:val="24"/>
              </w:rPr>
            </w:r>
          </w:p>
        </w:tc>
        <w:tc>
          <w:tcPr>
            <w:tcW w:w="964" w:type="dxa"/>
          </w:tcPr>
          <w:p>
            <w:pPr>
              <w:pStyle w:val="0"/>
            </w:pPr>
            <w:r>
              <w:rPr>
                <w:sz w:val="24"/>
              </w:rPr>
            </w:r>
          </w:p>
        </w:tc>
        <w:tc>
          <w:tcPr>
            <w:tcW w:w="1864" w:type="dxa"/>
          </w:tcPr>
          <w:p>
            <w:pPr>
              <w:pStyle w:val="0"/>
            </w:pPr>
            <w:r>
              <w:rPr>
                <w:sz w:val="24"/>
              </w:rPr>
            </w:r>
          </w:p>
        </w:tc>
        <w:tc>
          <w:tcPr>
            <w:tcW w:w="2381" w:type="dxa"/>
          </w:tcPr>
          <w:p>
            <w:pPr>
              <w:pStyle w:val="0"/>
            </w:pPr>
            <w:r>
              <w:rPr>
                <w:sz w:val="24"/>
              </w:rPr>
            </w:r>
          </w:p>
        </w:tc>
        <w:tc>
          <w:tcPr>
            <w:tcW w:w="1069" w:type="dxa"/>
          </w:tcPr>
          <w:p>
            <w:pPr>
              <w:pStyle w:val="0"/>
            </w:pPr>
            <w:r>
              <w:rPr>
                <w:sz w:val="24"/>
              </w:rPr>
            </w:r>
          </w:p>
        </w:tc>
        <w:tc>
          <w:tcPr>
            <w:tcW w:w="1234" w:type="dxa"/>
          </w:tcPr>
          <w:p>
            <w:pPr>
              <w:pStyle w:val="0"/>
            </w:pPr>
            <w:r>
              <w:rPr>
                <w:sz w:val="24"/>
              </w:rPr>
            </w:r>
          </w:p>
        </w:tc>
        <w:tc>
          <w:tcPr>
            <w:tcW w:w="1594" w:type="dxa"/>
          </w:tcPr>
          <w:p>
            <w:pPr>
              <w:pStyle w:val="0"/>
            </w:pPr>
            <w:r>
              <w:rPr>
                <w:sz w:val="24"/>
              </w:rPr>
            </w:r>
          </w:p>
        </w:tc>
      </w:tr>
    </w:tbl>
    <w:p>
      <w:pPr>
        <w:sectPr>
          <w:headerReference w:type="default" r:id="rId76"/>
          <w:headerReference w:type="first" r:id="rId76"/>
          <w:footerReference w:type="default" r:id="rId77"/>
          <w:footerReference w:type="first" r:id="rId77"/>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2160"/>
        <w:gridCol w:w="2582"/>
        <w:gridCol w:w="1704"/>
        <w:gridCol w:w="2608"/>
      </w:tblGrid>
      <w:tr>
        <w:tc>
          <w:tcPr>
            <w:gridSpan w:val="2"/>
            <w:tcW w:w="4742" w:type="dxa"/>
            <w:tcBorders>
              <w:top w:val="nil"/>
              <w:left w:val="nil"/>
              <w:bottom w:val="nil"/>
              <w:right w:val="nil"/>
            </w:tcBorders>
          </w:tcPr>
          <w:p>
            <w:pPr>
              <w:pStyle w:val="0"/>
            </w:pPr>
            <w:r>
              <w:rPr>
                <w:sz w:val="24"/>
              </w:rPr>
              <w:t xml:space="preserve">Руководитель</w:t>
            </w:r>
          </w:p>
          <w:p>
            <w:pPr>
              <w:pStyle w:val="0"/>
            </w:pPr>
            <w:r>
              <w:rPr>
                <w:sz w:val="24"/>
              </w:rPr>
              <w:t xml:space="preserve">юридического лица</w:t>
            </w:r>
          </w:p>
          <w:p>
            <w:pPr>
              <w:pStyle w:val="0"/>
            </w:pPr>
            <w:r>
              <w:rPr>
                <w:sz w:val="24"/>
              </w:rPr>
              <w:t xml:space="preserve">(индивидуальный предприниматель)</w:t>
            </w:r>
          </w:p>
        </w:tc>
        <w:tc>
          <w:tcPr>
            <w:tcW w:w="1704" w:type="dxa"/>
            <w:vAlign w:val="bottom"/>
            <w:tcBorders>
              <w:top w:val="nil"/>
              <w:left w:val="nil"/>
              <w:bottom w:val="nil"/>
              <w:right w:val="nil"/>
            </w:tcBorders>
          </w:tcPr>
          <w:p>
            <w:pPr>
              <w:pStyle w:val="0"/>
              <w:jc w:val="center"/>
            </w:pPr>
            <w:r>
              <w:rPr>
                <w:sz w:val="24"/>
              </w:rPr>
              <w:t xml:space="preserve">____________</w:t>
            </w:r>
          </w:p>
        </w:tc>
        <w:tc>
          <w:tcPr>
            <w:tcW w:w="2608" w:type="dxa"/>
            <w:vAlign w:val="bottom"/>
            <w:tcBorders>
              <w:top w:val="nil"/>
              <w:left w:val="nil"/>
              <w:bottom w:val="nil"/>
              <w:right w:val="nil"/>
            </w:tcBorders>
          </w:tcPr>
          <w:p>
            <w:pPr>
              <w:pStyle w:val="0"/>
              <w:jc w:val="center"/>
            </w:pPr>
            <w:r>
              <w:rPr>
                <w:sz w:val="24"/>
              </w:rPr>
              <w:t xml:space="preserve">____________________</w:t>
            </w:r>
          </w:p>
        </w:tc>
      </w:tr>
      <w:tr>
        <w:tc>
          <w:tcPr>
            <w:gridSpan w:val="2"/>
            <w:tcW w:w="4742" w:type="dxa"/>
            <w:tcBorders>
              <w:top w:val="nil"/>
              <w:left w:val="nil"/>
              <w:bottom w:val="nil"/>
              <w:right w:val="nil"/>
            </w:tcBorders>
          </w:tcPr>
          <w:p>
            <w:pPr>
              <w:pStyle w:val="0"/>
            </w:pPr>
            <w:r>
              <w:rPr>
                <w:sz w:val="24"/>
              </w:rPr>
            </w:r>
          </w:p>
        </w:tc>
        <w:tc>
          <w:tcPr>
            <w:tcW w:w="1704" w:type="dxa"/>
            <w:vAlign w:val="bottom"/>
            <w:tcBorders>
              <w:top w:val="nil"/>
              <w:left w:val="nil"/>
              <w:bottom w:val="nil"/>
              <w:right w:val="nil"/>
            </w:tcBorders>
          </w:tcPr>
          <w:p>
            <w:pPr>
              <w:pStyle w:val="0"/>
              <w:jc w:val="center"/>
            </w:pPr>
            <w:r>
              <w:rPr>
                <w:sz w:val="24"/>
              </w:rPr>
              <w:t xml:space="preserve">(подпись)</w:t>
            </w:r>
          </w:p>
        </w:tc>
        <w:tc>
          <w:tcPr>
            <w:tcW w:w="2608" w:type="dxa"/>
            <w:vAlign w:val="bottom"/>
            <w:tcBorders>
              <w:top w:val="nil"/>
              <w:left w:val="nil"/>
              <w:bottom w:val="nil"/>
              <w:right w:val="nil"/>
            </w:tcBorders>
          </w:tcPr>
          <w:p>
            <w:pPr>
              <w:pStyle w:val="0"/>
              <w:jc w:val="center"/>
            </w:pPr>
            <w:r>
              <w:rPr>
                <w:sz w:val="24"/>
              </w:rPr>
              <w:t xml:space="preserve">(расшифровка подписи)</w:t>
            </w:r>
          </w:p>
        </w:tc>
      </w:tr>
      <w:tr>
        <w:tc>
          <w:tcPr>
            <w:gridSpan w:val="2"/>
            <w:tcW w:w="4742" w:type="dxa"/>
            <w:tcBorders>
              <w:top w:val="nil"/>
              <w:left w:val="nil"/>
              <w:bottom w:val="nil"/>
              <w:right w:val="nil"/>
            </w:tcBorders>
          </w:tcPr>
          <w:p>
            <w:pPr>
              <w:pStyle w:val="0"/>
            </w:pPr>
            <w:r>
              <w:rPr>
                <w:sz w:val="24"/>
              </w:rPr>
              <w:t xml:space="preserve">Главный бухгалтер</w:t>
            </w:r>
          </w:p>
          <w:p>
            <w:pPr>
              <w:pStyle w:val="0"/>
            </w:pPr>
            <w:r>
              <w:rPr>
                <w:sz w:val="24"/>
              </w:rPr>
              <w:t xml:space="preserve">(при наличии)</w:t>
            </w:r>
          </w:p>
        </w:tc>
        <w:tc>
          <w:tcPr>
            <w:tcW w:w="1704" w:type="dxa"/>
            <w:vAlign w:val="bottom"/>
            <w:tcBorders>
              <w:top w:val="nil"/>
              <w:left w:val="nil"/>
              <w:bottom w:val="nil"/>
              <w:right w:val="nil"/>
            </w:tcBorders>
          </w:tcPr>
          <w:p>
            <w:pPr>
              <w:pStyle w:val="0"/>
              <w:jc w:val="center"/>
            </w:pPr>
            <w:r>
              <w:rPr>
                <w:sz w:val="24"/>
              </w:rPr>
              <w:t xml:space="preserve">____________</w:t>
            </w:r>
          </w:p>
        </w:tc>
        <w:tc>
          <w:tcPr>
            <w:tcW w:w="2608" w:type="dxa"/>
            <w:vAlign w:val="bottom"/>
            <w:tcBorders>
              <w:top w:val="nil"/>
              <w:left w:val="nil"/>
              <w:bottom w:val="nil"/>
              <w:right w:val="nil"/>
            </w:tcBorders>
          </w:tcPr>
          <w:p>
            <w:pPr>
              <w:pStyle w:val="0"/>
              <w:jc w:val="center"/>
            </w:pPr>
            <w:r>
              <w:rPr>
                <w:sz w:val="24"/>
              </w:rPr>
              <w:t xml:space="preserve">____________________</w:t>
            </w:r>
          </w:p>
        </w:tc>
      </w:tr>
      <w:tr>
        <w:tc>
          <w:tcPr>
            <w:gridSpan w:val="2"/>
            <w:tcW w:w="4742" w:type="dxa"/>
            <w:tcBorders>
              <w:top w:val="nil"/>
              <w:left w:val="nil"/>
              <w:bottom w:val="nil"/>
              <w:right w:val="nil"/>
            </w:tcBorders>
          </w:tcPr>
          <w:p>
            <w:pPr>
              <w:pStyle w:val="0"/>
            </w:pPr>
            <w:r>
              <w:rPr>
                <w:sz w:val="24"/>
              </w:rPr>
            </w:r>
          </w:p>
        </w:tc>
        <w:tc>
          <w:tcPr>
            <w:tcW w:w="1704" w:type="dxa"/>
            <w:vAlign w:val="bottom"/>
            <w:tcBorders>
              <w:top w:val="nil"/>
              <w:left w:val="nil"/>
              <w:bottom w:val="nil"/>
              <w:right w:val="nil"/>
            </w:tcBorders>
          </w:tcPr>
          <w:p>
            <w:pPr>
              <w:pStyle w:val="0"/>
              <w:jc w:val="center"/>
            </w:pPr>
            <w:r>
              <w:rPr>
                <w:sz w:val="24"/>
              </w:rPr>
              <w:t xml:space="preserve">(подпись)</w:t>
            </w:r>
          </w:p>
        </w:tc>
        <w:tc>
          <w:tcPr>
            <w:tcW w:w="2608" w:type="dxa"/>
            <w:vAlign w:val="bottom"/>
            <w:tcBorders>
              <w:top w:val="nil"/>
              <w:left w:val="nil"/>
              <w:bottom w:val="nil"/>
              <w:right w:val="nil"/>
            </w:tcBorders>
          </w:tcPr>
          <w:p>
            <w:pPr>
              <w:pStyle w:val="0"/>
              <w:jc w:val="center"/>
            </w:pPr>
            <w:r>
              <w:rPr>
                <w:sz w:val="24"/>
              </w:rPr>
              <w:t xml:space="preserve">(расшифровка подписи)</w:t>
            </w:r>
          </w:p>
        </w:tc>
      </w:tr>
      <w:tr>
        <w:tc>
          <w:tcPr>
            <w:tcW w:w="2160" w:type="dxa"/>
            <w:tcBorders>
              <w:top w:val="nil"/>
              <w:left w:val="nil"/>
              <w:bottom w:val="nil"/>
              <w:right w:val="nil"/>
            </w:tcBorders>
          </w:tcPr>
          <w:p>
            <w:pPr>
              <w:pStyle w:val="0"/>
              <w:jc w:val="center"/>
            </w:pPr>
            <w:r>
              <w:rPr>
                <w:sz w:val="24"/>
              </w:rPr>
              <w:t xml:space="preserve">М.П.</w:t>
            </w:r>
          </w:p>
          <w:p>
            <w:pPr>
              <w:pStyle w:val="0"/>
              <w:jc w:val="center"/>
            </w:pPr>
            <w:r>
              <w:rPr>
                <w:sz w:val="24"/>
              </w:rPr>
              <w:t xml:space="preserve">(при наличии)</w:t>
            </w:r>
          </w:p>
        </w:tc>
        <w:tc>
          <w:tcPr>
            <w:tcW w:w="2582" w:type="dxa"/>
            <w:tcBorders>
              <w:top w:val="nil"/>
              <w:left w:val="nil"/>
              <w:bottom w:val="nil"/>
              <w:right w:val="nil"/>
            </w:tcBorders>
          </w:tcPr>
          <w:p>
            <w:pPr>
              <w:pStyle w:val="0"/>
              <w:jc w:val="both"/>
            </w:pPr>
            <w:r>
              <w:rPr>
                <w:sz w:val="24"/>
              </w:rPr>
            </w:r>
          </w:p>
        </w:tc>
        <w:tc>
          <w:tcPr>
            <w:gridSpan w:val="2"/>
            <w:tcW w:w="4312" w:type="dxa"/>
            <w:tcBorders>
              <w:top w:val="nil"/>
              <w:left w:val="nil"/>
              <w:bottom w:val="nil"/>
              <w:right w:val="nil"/>
            </w:tcBorders>
          </w:tcPr>
          <w:p>
            <w:pPr>
              <w:pStyle w:val="0"/>
            </w:pPr>
            <w:r>
              <w:rPr>
                <w:sz w:val="24"/>
              </w:rPr>
            </w:r>
          </w:p>
        </w:tc>
      </w:tr>
      <w:tr>
        <w:tc>
          <w:tcPr>
            <w:gridSpan w:val="2"/>
            <w:tcW w:w="4742" w:type="dxa"/>
            <w:vAlign w:val="center"/>
            <w:tcBorders>
              <w:top w:val="nil"/>
              <w:left w:val="nil"/>
              <w:bottom w:val="nil"/>
              <w:right w:val="nil"/>
            </w:tcBorders>
          </w:tcPr>
          <w:p>
            <w:pPr>
              <w:pStyle w:val="0"/>
            </w:pPr>
            <w:r>
              <w:rPr>
                <w:sz w:val="24"/>
              </w:rPr>
              <w:t xml:space="preserve">"___" ___________ 20__ г.</w:t>
            </w:r>
          </w:p>
        </w:tc>
        <w:tc>
          <w:tcPr>
            <w:gridSpan w:val="2"/>
            <w:tcW w:w="4312"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Порядку предоставления иных межбюджетных</w:t>
      </w:r>
    </w:p>
    <w:p>
      <w:pPr>
        <w:pStyle w:val="0"/>
        <w:jc w:val="right"/>
      </w:pPr>
      <w:r>
        <w:rPr>
          <w:sz w:val="24"/>
        </w:rPr>
        <w:t xml:space="preserve">трансфертов из федерального бюджета</w:t>
      </w:r>
    </w:p>
    <w:p>
      <w:pPr>
        <w:pStyle w:val="0"/>
        <w:jc w:val="right"/>
      </w:pPr>
      <w:r>
        <w:rPr>
          <w:sz w:val="24"/>
        </w:rPr>
        <w:t xml:space="preserve">и средств областного бюджета на реализацию</w:t>
      </w:r>
    </w:p>
    <w:p>
      <w:pPr>
        <w:pStyle w:val="0"/>
        <w:jc w:val="right"/>
      </w:pPr>
      <w:r>
        <w:rPr>
          <w:sz w:val="24"/>
        </w:rPr>
        <w:t xml:space="preserve">регионального проекта, обеспечивающего достижение</w:t>
      </w:r>
    </w:p>
    <w:p>
      <w:pPr>
        <w:pStyle w:val="0"/>
        <w:jc w:val="right"/>
      </w:pPr>
      <w:r>
        <w:rPr>
          <w:sz w:val="24"/>
        </w:rPr>
        <w:t xml:space="preserve">целей, показателей и результатов федерального</w:t>
      </w:r>
    </w:p>
    <w:p>
      <w:pPr>
        <w:pStyle w:val="0"/>
        <w:jc w:val="right"/>
      </w:pPr>
      <w:r>
        <w:rPr>
          <w:sz w:val="24"/>
        </w:rPr>
        <w:t xml:space="preserve">проекта "Содействие занятости" национального</w:t>
      </w:r>
    </w:p>
    <w:p>
      <w:pPr>
        <w:pStyle w:val="0"/>
        <w:jc w:val="right"/>
      </w:pPr>
      <w:r>
        <w:rPr>
          <w:sz w:val="24"/>
        </w:rPr>
        <w:t xml:space="preserve">проекта "Демография" по реализации дополнительных</w:t>
      </w:r>
    </w:p>
    <w:p>
      <w:pPr>
        <w:pStyle w:val="0"/>
        <w:jc w:val="right"/>
      </w:pPr>
      <w:r>
        <w:rPr>
          <w:sz w:val="24"/>
        </w:rPr>
        <w:t xml:space="preserve">мероприятий, направленных на снижение напряженности</w:t>
      </w:r>
    </w:p>
    <w:p>
      <w:pPr>
        <w:pStyle w:val="0"/>
        <w:jc w:val="right"/>
      </w:pPr>
      <w:r>
        <w:rPr>
          <w:sz w:val="24"/>
        </w:rPr>
        <w:t xml:space="preserve">на рынке труда Белгородской области,</w:t>
      </w:r>
    </w:p>
    <w:p>
      <w:pPr>
        <w:pStyle w:val="0"/>
        <w:jc w:val="right"/>
      </w:pPr>
      <w:r>
        <w:rPr>
          <w:sz w:val="24"/>
        </w:rPr>
        <w:t xml:space="preserve">по финансовому обеспечению (возмещению)</w:t>
      </w:r>
    </w:p>
    <w:p>
      <w:pPr>
        <w:pStyle w:val="0"/>
        <w:jc w:val="right"/>
      </w:pPr>
      <w:r>
        <w:rPr>
          <w:sz w:val="24"/>
        </w:rPr>
        <w:t xml:space="preserve">затрат работодателей на организацию</w:t>
      </w:r>
    </w:p>
    <w:p>
      <w:pPr>
        <w:pStyle w:val="0"/>
        <w:jc w:val="right"/>
      </w:pPr>
      <w:r>
        <w:rPr>
          <w:sz w:val="24"/>
        </w:rPr>
        <w:t xml:space="preserve">профессионального обучения и дополнительного</w:t>
      </w:r>
    </w:p>
    <w:p>
      <w:pPr>
        <w:pStyle w:val="0"/>
        <w:jc w:val="right"/>
      </w:pPr>
      <w:r>
        <w:rPr>
          <w:sz w:val="24"/>
        </w:rPr>
        <w:t xml:space="preserve">профессионального образования работников</w:t>
      </w:r>
    </w:p>
    <w:p>
      <w:pPr>
        <w:pStyle w:val="0"/>
        <w:jc w:val="right"/>
      </w:pPr>
      <w:r>
        <w:rPr>
          <w:sz w:val="24"/>
        </w:rPr>
        <w:t xml:space="preserve">промышленных организаций, находящихся под</w:t>
      </w:r>
    </w:p>
    <w:p>
      <w:pPr>
        <w:pStyle w:val="0"/>
        <w:jc w:val="right"/>
      </w:pPr>
      <w:r>
        <w:rPr>
          <w:sz w:val="24"/>
        </w:rPr>
        <w:t xml:space="preserve">риском увольнения, включая введение</w:t>
      </w:r>
    </w:p>
    <w:p>
      <w:pPr>
        <w:pStyle w:val="0"/>
        <w:jc w:val="right"/>
      </w:pPr>
      <w:r>
        <w:rPr>
          <w:sz w:val="24"/>
        </w:rPr>
        <w:t xml:space="preserve">режима неполного рабочего времени, простой,</w:t>
      </w:r>
    </w:p>
    <w:p>
      <w:pPr>
        <w:pStyle w:val="0"/>
        <w:jc w:val="right"/>
      </w:pPr>
      <w:r>
        <w:rPr>
          <w:sz w:val="24"/>
        </w:rPr>
        <w:t xml:space="preserve">временную приостановку работ, предоставление</w:t>
      </w:r>
    </w:p>
    <w:p>
      <w:pPr>
        <w:pStyle w:val="0"/>
        <w:jc w:val="right"/>
      </w:pPr>
      <w:r>
        <w:rPr>
          <w:sz w:val="24"/>
        </w:rPr>
        <w:t xml:space="preserve">отпусков без сохранения заработной платы,</w:t>
      </w:r>
    </w:p>
    <w:p>
      <w:pPr>
        <w:pStyle w:val="0"/>
        <w:jc w:val="right"/>
      </w:pPr>
      <w:r>
        <w:rPr>
          <w:sz w:val="24"/>
        </w:rPr>
        <w:t xml:space="preserve">проведение мероприятий по высвобождению</w:t>
      </w:r>
    </w:p>
    <w:p>
      <w:pPr>
        <w:pStyle w:val="0"/>
        <w:jc w:val="right"/>
      </w:pPr>
      <w:r>
        <w:rPr>
          <w:sz w:val="24"/>
        </w:rPr>
        <w:t xml:space="preserve">работников, в 2023 году</w:t>
      </w:r>
    </w:p>
    <w:p>
      <w:pPr>
        <w:pStyle w:val="0"/>
        <w:jc w:val="both"/>
      </w:pPr>
      <w:r>
        <w:rPr>
          <w:sz w:val="24"/>
        </w:rPr>
      </w:r>
    </w:p>
    <w:p>
      <w:pPr>
        <w:pStyle w:val="0"/>
        <w:jc w:val="center"/>
      </w:pPr>
      <w:r>
        <w:rPr>
          <w:sz w:val="24"/>
        </w:rPr>
        <w:t xml:space="preserve">Акт</w:t>
      </w:r>
    </w:p>
    <w:p>
      <w:pPr>
        <w:pStyle w:val="0"/>
        <w:jc w:val="center"/>
      </w:pPr>
      <w:r>
        <w:rPr>
          <w:sz w:val="24"/>
        </w:rPr>
        <w:t xml:space="preserve">выполнения обязательств по договору</w:t>
      </w:r>
    </w:p>
    <w:p>
      <w:pPr>
        <w:pStyle w:val="0"/>
        <w:jc w:val="both"/>
      </w:pPr>
      <w:r>
        <w:rPr>
          <w:sz w:val="24"/>
        </w:rPr>
      </w:r>
    </w:p>
    <w:p>
      <w:pPr>
        <w:pStyle w:val="0"/>
        <w:ind w:firstLine="540"/>
        <w:jc w:val="both"/>
      </w:pPr>
      <w:r>
        <w:rPr>
          <w:sz w:val="24"/>
        </w:rPr>
        <w:t xml:space="preserve">Исключен. - </w:t>
      </w:r>
      <w:hyperlink w:history="0" r:id="rId78"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w:t>
        </w:r>
      </w:hyperlink>
      <w:r>
        <w:rPr>
          <w:sz w:val="24"/>
        </w:rPr>
        <w:t xml:space="preserve"> Правительства Белгородской области от 29.05.2023 N 295-пп.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Порядку предоставления иных межбюджетных</w:t>
      </w:r>
    </w:p>
    <w:p>
      <w:pPr>
        <w:pStyle w:val="0"/>
        <w:jc w:val="right"/>
      </w:pPr>
      <w:r>
        <w:rPr>
          <w:sz w:val="24"/>
        </w:rPr>
        <w:t xml:space="preserve">трансфертов из федерального бюджета</w:t>
      </w:r>
    </w:p>
    <w:p>
      <w:pPr>
        <w:pStyle w:val="0"/>
        <w:jc w:val="right"/>
      </w:pPr>
      <w:r>
        <w:rPr>
          <w:sz w:val="24"/>
        </w:rPr>
        <w:t xml:space="preserve">и средств областного бюджета на реализацию</w:t>
      </w:r>
    </w:p>
    <w:p>
      <w:pPr>
        <w:pStyle w:val="0"/>
        <w:jc w:val="right"/>
      </w:pPr>
      <w:r>
        <w:rPr>
          <w:sz w:val="24"/>
        </w:rPr>
        <w:t xml:space="preserve">регионального проекта, обеспечивающего достижение</w:t>
      </w:r>
    </w:p>
    <w:p>
      <w:pPr>
        <w:pStyle w:val="0"/>
        <w:jc w:val="right"/>
      </w:pPr>
      <w:r>
        <w:rPr>
          <w:sz w:val="24"/>
        </w:rPr>
        <w:t xml:space="preserve">целей, показателей и результатов федерального</w:t>
      </w:r>
    </w:p>
    <w:p>
      <w:pPr>
        <w:pStyle w:val="0"/>
        <w:jc w:val="right"/>
      </w:pPr>
      <w:r>
        <w:rPr>
          <w:sz w:val="24"/>
        </w:rPr>
        <w:t xml:space="preserve">проекта "Содействие занятости" национального</w:t>
      </w:r>
    </w:p>
    <w:p>
      <w:pPr>
        <w:pStyle w:val="0"/>
        <w:jc w:val="right"/>
      </w:pPr>
      <w:r>
        <w:rPr>
          <w:sz w:val="24"/>
        </w:rPr>
        <w:t xml:space="preserve">проекта "Демография" по реализации дополнительных</w:t>
      </w:r>
    </w:p>
    <w:p>
      <w:pPr>
        <w:pStyle w:val="0"/>
        <w:jc w:val="right"/>
      </w:pPr>
      <w:r>
        <w:rPr>
          <w:sz w:val="24"/>
        </w:rPr>
        <w:t xml:space="preserve">мероприятий, направленных на снижение напряженности</w:t>
      </w:r>
    </w:p>
    <w:p>
      <w:pPr>
        <w:pStyle w:val="0"/>
        <w:jc w:val="right"/>
      </w:pPr>
      <w:r>
        <w:rPr>
          <w:sz w:val="24"/>
        </w:rPr>
        <w:t xml:space="preserve">на рынке труда Белгородской области,</w:t>
      </w:r>
    </w:p>
    <w:p>
      <w:pPr>
        <w:pStyle w:val="0"/>
        <w:jc w:val="right"/>
      </w:pPr>
      <w:r>
        <w:rPr>
          <w:sz w:val="24"/>
        </w:rPr>
        <w:t xml:space="preserve">по финансовому обеспечению (возмещению)</w:t>
      </w:r>
    </w:p>
    <w:p>
      <w:pPr>
        <w:pStyle w:val="0"/>
        <w:jc w:val="right"/>
      </w:pPr>
      <w:r>
        <w:rPr>
          <w:sz w:val="24"/>
        </w:rPr>
        <w:t xml:space="preserve">затрат работодателей на организацию</w:t>
      </w:r>
    </w:p>
    <w:p>
      <w:pPr>
        <w:pStyle w:val="0"/>
        <w:jc w:val="right"/>
      </w:pPr>
      <w:r>
        <w:rPr>
          <w:sz w:val="24"/>
        </w:rPr>
        <w:t xml:space="preserve">профессионального обучения и дополнительного</w:t>
      </w:r>
    </w:p>
    <w:p>
      <w:pPr>
        <w:pStyle w:val="0"/>
        <w:jc w:val="right"/>
      </w:pPr>
      <w:r>
        <w:rPr>
          <w:sz w:val="24"/>
        </w:rPr>
        <w:t xml:space="preserve">профессионального образования работников</w:t>
      </w:r>
    </w:p>
    <w:p>
      <w:pPr>
        <w:pStyle w:val="0"/>
        <w:jc w:val="right"/>
      </w:pPr>
      <w:r>
        <w:rPr>
          <w:sz w:val="24"/>
        </w:rPr>
        <w:t xml:space="preserve">промышленных организаций, находящихся под</w:t>
      </w:r>
    </w:p>
    <w:p>
      <w:pPr>
        <w:pStyle w:val="0"/>
        <w:jc w:val="right"/>
      </w:pPr>
      <w:r>
        <w:rPr>
          <w:sz w:val="24"/>
        </w:rPr>
        <w:t xml:space="preserve">риском увольнения, включая введение</w:t>
      </w:r>
    </w:p>
    <w:p>
      <w:pPr>
        <w:pStyle w:val="0"/>
        <w:jc w:val="right"/>
      </w:pPr>
      <w:r>
        <w:rPr>
          <w:sz w:val="24"/>
        </w:rPr>
        <w:t xml:space="preserve">режима неполного рабочего времени, простой,</w:t>
      </w:r>
    </w:p>
    <w:p>
      <w:pPr>
        <w:pStyle w:val="0"/>
        <w:jc w:val="right"/>
      </w:pPr>
      <w:r>
        <w:rPr>
          <w:sz w:val="24"/>
        </w:rPr>
        <w:t xml:space="preserve">временную приостановку работ, предоставление</w:t>
      </w:r>
    </w:p>
    <w:p>
      <w:pPr>
        <w:pStyle w:val="0"/>
        <w:jc w:val="right"/>
      </w:pPr>
      <w:r>
        <w:rPr>
          <w:sz w:val="24"/>
        </w:rPr>
        <w:t xml:space="preserve">отпусков без сохранения заработной платы,</w:t>
      </w:r>
    </w:p>
    <w:p>
      <w:pPr>
        <w:pStyle w:val="0"/>
        <w:jc w:val="right"/>
      </w:pPr>
      <w:r>
        <w:rPr>
          <w:sz w:val="24"/>
        </w:rPr>
        <w:t xml:space="preserve">проведение мероприятий по высвобождению</w:t>
      </w:r>
    </w:p>
    <w:p>
      <w:pPr>
        <w:pStyle w:val="0"/>
        <w:jc w:val="right"/>
      </w:pPr>
      <w:r>
        <w:rPr>
          <w:sz w:val="24"/>
        </w:rPr>
        <w:t xml:space="preserve">работников, в 2023 году</w:t>
      </w:r>
    </w:p>
    <w:p>
      <w:pPr>
        <w:pStyle w:val="0"/>
        <w:jc w:val="both"/>
      </w:pPr>
      <w:r>
        <w:rPr>
          <w:sz w:val="24"/>
        </w:rPr>
      </w:r>
    </w:p>
    <w:p>
      <w:pPr>
        <w:pStyle w:val="0"/>
        <w:jc w:val="center"/>
      </w:pPr>
      <w:r>
        <w:rPr>
          <w:sz w:val="24"/>
        </w:rPr>
        <w:t xml:space="preserve">Акт</w:t>
      </w:r>
    </w:p>
    <w:p>
      <w:pPr>
        <w:pStyle w:val="0"/>
        <w:jc w:val="center"/>
      </w:pPr>
      <w:r>
        <w:rPr>
          <w:sz w:val="24"/>
        </w:rPr>
        <w:t xml:space="preserve">выполнения условий предоставления субсидии</w:t>
      </w:r>
    </w:p>
    <w:p>
      <w:pPr>
        <w:pStyle w:val="0"/>
        <w:jc w:val="both"/>
      </w:pPr>
      <w:r>
        <w:rPr>
          <w:sz w:val="24"/>
        </w:rPr>
      </w:r>
    </w:p>
    <w:p>
      <w:pPr>
        <w:pStyle w:val="0"/>
        <w:ind w:firstLine="540"/>
        <w:jc w:val="both"/>
      </w:pPr>
      <w:r>
        <w:rPr>
          <w:sz w:val="24"/>
        </w:rPr>
        <w:t xml:space="preserve">Исключен. - </w:t>
      </w:r>
      <w:hyperlink w:history="0" r:id="rId79" w:tooltip="Постановление Правительства Белгородской обл. от 29.05.2023 N 295-пп &quot;О внесении изменений в постановление Правительства Белгородской области от 26 декабря 2022 года N 805-пп&quot; {КонсультантПлюс}">
        <w:r>
          <w:rPr>
            <w:sz w:val="24"/>
            <w:color w:val="0000ff"/>
          </w:rPr>
          <w:t xml:space="preserve">Постановление</w:t>
        </w:r>
      </w:hyperlink>
      <w:r>
        <w:rPr>
          <w:sz w:val="24"/>
        </w:rPr>
        <w:t xml:space="preserve"> Правительства Белгородской области от 29.05.2023 N 295-пп.</w:t>
      </w:r>
    </w:p>
    <w:p>
      <w:pPr>
        <w:pStyle w:val="0"/>
        <w:ind w:firstLine="54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Белгородской обл. от 26.12.2022 N 805-пп</w:t>
            <w:br/>
            <w:t>(ред. от 29.05.2023)</w:t>
            <w:br/>
            <w:t>"Об утверждении порядка предос...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Белгородской обл. от 26.12.2022 N 805-пп</w:t>
            <w:br/>
            <w:t>(ред. от 29.05.2023)</w:t>
            <w:br/>
            <w:t>"Об утверждении порядка предос...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04&amp;n=92859&amp;date=09.10.2026&amp;dst=100005&amp;field=134" TargetMode = "External"/><Relationship Id="rId9" Type="http://schemas.openxmlformats.org/officeDocument/2006/relationships/hyperlink" Target="https://login.consultant.ru/link/?req=doc&amp;base=LAW&amp;n=513926&amp;date=09.10.2026&amp;dst=103524&amp;field=134" TargetMode = "External"/><Relationship Id="rId10" Type="http://schemas.openxmlformats.org/officeDocument/2006/relationships/hyperlink" Target="https://login.consultant.ru/link/?req=doc&amp;base=LAW&amp;n=435381&amp;date=09.10.2026&amp;dst=10&amp;field=134" TargetMode = "External"/><Relationship Id="rId11" Type="http://schemas.openxmlformats.org/officeDocument/2006/relationships/hyperlink" Target="https://login.consultant.ru/link/?req=doc&amp;base=LAW&amp;n=442115&amp;date=09.10.2026&amp;dst=100007&amp;field=134" TargetMode = "External"/><Relationship Id="rId12" Type="http://schemas.openxmlformats.org/officeDocument/2006/relationships/hyperlink" Target="https://login.consultant.ru/link/?req=doc&amp;base=RLAW404&amp;n=92859&amp;date=09.10.2026&amp;dst=100006&amp;field=134" TargetMode = "External"/><Relationship Id="rId13" Type="http://schemas.openxmlformats.org/officeDocument/2006/relationships/hyperlink" Target="https://login.consultant.ru/link/?req=doc&amp;base=RLAW404&amp;n=92859&amp;date=09.10.2026&amp;dst=100006&amp;field=134" TargetMode = "External"/><Relationship Id="rId14" Type="http://schemas.openxmlformats.org/officeDocument/2006/relationships/hyperlink" Target="https://login.consultant.ru/link/?req=doc&amp;base=RLAW404&amp;n=92859&amp;date=09.10.2026&amp;dst=100008&amp;field=134" TargetMode = "External"/><Relationship Id="rId15" Type="http://schemas.openxmlformats.org/officeDocument/2006/relationships/hyperlink" Target="https://login.consultant.ru/link/?req=doc&amp;base=RLAW404&amp;n=92859&amp;date=09.10.2026&amp;dst=100010&amp;field=134" TargetMode = "External"/><Relationship Id="rId16" Type="http://schemas.openxmlformats.org/officeDocument/2006/relationships/hyperlink" Target="https://login.consultant.ru/link/?req=doc&amp;base=RLAW404&amp;n=92859&amp;date=09.10.2026&amp;dst=100017&amp;field=134" TargetMode = "External"/><Relationship Id="rId17" Type="http://schemas.openxmlformats.org/officeDocument/2006/relationships/hyperlink" Target="https://login.consultant.ru/link/?req=doc&amp;base=LAW&amp;n=423871&amp;date=09.10.2026" TargetMode = "External"/><Relationship Id="rId18" Type="http://schemas.openxmlformats.org/officeDocument/2006/relationships/hyperlink" Target="https://login.consultant.ru/link/?req=doc&amp;base=RLAW404&amp;n=92859&amp;date=09.10.2026&amp;dst=100019&amp;field=134" TargetMode = "External"/><Relationship Id="rId19" Type="http://schemas.openxmlformats.org/officeDocument/2006/relationships/hyperlink" Target="https://login.consultant.ru/link/?req=doc&amp;base=RLAW404&amp;n=92859&amp;date=09.10.2026&amp;dst=100023&amp;field=134" TargetMode = "External"/><Relationship Id="rId20" Type="http://schemas.openxmlformats.org/officeDocument/2006/relationships/hyperlink" Target="https://login.consultant.ru/link/?req=doc&amp;base=LAW&amp;n=459040&amp;date=09.10.2026" TargetMode = "External"/><Relationship Id="rId21" Type="http://schemas.openxmlformats.org/officeDocument/2006/relationships/hyperlink" Target="https://login.consultant.ru/link/?req=doc&amp;base=RLAW404&amp;n=92859&amp;date=09.10.2026&amp;dst=100024&amp;field=134" TargetMode = "External"/><Relationship Id="rId22" Type="http://schemas.openxmlformats.org/officeDocument/2006/relationships/hyperlink" Target="https://login.consultant.ru/link/?req=doc&amp;base=RLAW404&amp;n=92859&amp;date=09.10.2026&amp;dst=100025&amp;field=134" TargetMode = "External"/><Relationship Id="rId23" Type="http://schemas.openxmlformats.org/officeDocument/2006/relationships/hyperlink" Target="https://login.consultant.ru/link/?req=doc&amp;base=RLAW404&amp;n=92859&amp;date=09.10.2026&amp;dst=100026&amp;field=134" TargetMode = "External"/><Relationship Id="rId24" Type="http://schemas.openxmlformats.org/officeDocument/2006/relationships/hyperlink" Target="https://login.consultant.ru/link/?req=doc&amp;base=RLAW404&amp;n=92859&amp;date=09.10.2026&amp;dst=100025&amp;field=134" TargetMode = "External"/><Relationship Id="rId25" Type="http://schemas.openxmlformats.org/officeDocument/2006/relationships/hyperlink" Target="https://login.consultant.ru/link/?req=doc&amp;base=RLAW404&amp;n=92859&amp;date=09.10.2026&amp;dst=100031&amp;field=134" TargetMode = "External"/><Relationship Id="rId26" Type="http://schemas.openxmlformats.org/officeDocument/2006/relationships/hyperlink" Target="https://login.consultant.ru/link/?req=doc&amp;base=RLAW404&amp;n=92859&amp;date=09.10.2026&amp;dst=100025&amp;field=134" TargetMode = "External"/><Relationship Id="rId27" Type="http://schemas.openxmlformats.org/officeDocument/2006/relationships/hyperlink" Target="https://login.consultant.ru/link/?req=doc&amp;base=RLAW404&amp;n=92859&amp;date=09.10.2026&amp;dst=100033&amp;field=134" TargetMode = "External"/><Relationship Id="rId28" Type="http://schemas.openxmlformats.org/officeDocument/2006/relationships/hyperlink" Target="https://login.consultant.ru/link/?req=doc&amp;base=RLAW404&amp;n=92859&amp;date=09.10.2026&amp;dst=100034&amp;field=134" TargetMode = "External"/><Relationship Id="rId29" Type="http://schemas.openxmlformats.org/officeDocument/2006/relationships/hyperlink" Target="https://login.consultant.ru/link/?req=doc&amp;base=RLAW404&amp;n=92859&amp;date=09.10.2026&amp;dst=100036&amp;field=134" TargetMode = "External"/><Relationship Id="rId30" Type="http://schemas.openxmlformats.org/officeDocument/2006/relationships/hyperlink" Target="https://login.consultant.ru/link/?req=doc&amp;base=RLAW404&amp;n=92859&amp;date=09.10.2026&amp;dst=100051&amp;field=134" TargetMode = "External"/><Relationship Id="rId31" Type="http://schemas.openxmlformats.org/officeDocument/2006/relationships/hyperlink" Target="https://login.consultant.ru/link/?req=doc&amp;base=RLAW404&amp;n=92859&amp;date=09.10.2026&amp;dst=100052&amp;field=134" TargetMode = "External"/><Relationship Id="rId32" Type="http://schemas.openxmlformats.org/officeDocument/2006/relationships/hyperlink" Target="https://login.consultant.ru/link/?req=doc&amp;base=RLAW404&amp;n=92859&amp;date=09.10.2026&amp;dst=100054&amp;field=134" TargetMode = "External"/><Relationship Id="rId33" Type="http://schemas.openxmlformats.org/officeDocument/2006/relationships/hyperlink" Target="https://login.consultant.ru/link/?req=doc&amp;base=RLAW404&amp;n=92859&amp;date=09.10.2026&amp;dst=100056&amp;field=134" TargetMode = "External"/><Relationship Id="rId34" Type="http://schemas.openxmlformats.org/officeDocument/2006/relationships/hyperlink" Target="https://login.consultant.ru/link/?req=doc&amp;base=RLAW404&amp;n=92859&amp;date=09.10.2026&amp;dst=100072&amp;field=134" TargetMode = "External"/><Relationship Id="rId35" Type="http://schemas.openxmlformats.org/officeDocument/2006/relationships/hyperlink" Target="https://login.consultant.ru/link/?req=doc&amp;base=RLAW404&amp;n=92859&amp;date=09.10.2026&amp;dst=100081&amp;field=134" TargetMode = "External"/><Relationship Id="rId36" Type="http://schemas.openxmlformats.org/officeDocument/2006/relationships/hyperlink" Target="https://login.consultant.ru/link/?req=doc&amp;base=RLAW404&amp;n=92859&amp;date=09.10.2026&amp;dst=100083&amp;field=134" TargetMode = "External"/><Relationship Id="rId37" Type="http://schemas.openxmlformats.org/officeDocument/2006/relationships/hyperlink" Target="https://login.consultant.ru/link/?req=doc&amp;base=LAW&amp;n=513926&amp;date=09.10.2026&amp;dst=3704&amp;field=134" TargetMode = "External"/><Relationship Id="rId38" Type="http://schemas.openxmlformats.org/officeDocument/2006/relationships/hyperlink" Target="https://login.consultant.ru/link/?req=doc&amp;base=LAW&amp;n=513926&amp;date=09.10.2026&amp;dst=3722&amp;field=134" TargetMode = "External"/><Relationship Id="rId39" Type="http://schemas.openxmlformats.org/officeDocument/2006/relationships/hyperlink" Target="https://login.consultant.ru/link/?req=doc&amp;base=LAW&amp;n=513926&amp;date=09.10.2026&amp;dst=3704&amp;field=134" TargetMode = "External"/><Relationship Id="rId40" Type="http://schemas.openxmlformats.org/officeDocument/2006/relationships/hyperlink" Target="https://login.consultant.ru/link/?req=doc&amp;base=LAW&amp;n=513926&amp;date=09.10.2026&amp;dst=3722&amp;field=134" TargetMode = "External"/><Relationship Id="rId41" Type="http://schemas.openxmlformats.org/officeDocument/2006/relationships/hyperlink" Target="https://login.consultant.ru/link/?req=doc&amp;base=RLAW404&amp;n=92859&amp;date=09.10.2026&amp;dst=100092&amp;field=134" TargetMode = "External"/><Relationship Id="rId42" Type="http://schemas.openxmlformats.org/officeDocument/2006/relationships/hyperlink" Target="https://login.consultant.ru/link/?req=doc&amp;base=RLAW404&amp;n=92859&amp;date=09.10.2026&amp;dst=100112&amp;field=134" TargetMode = "External"/><Relationship Id="rId43" Type="http://schemas.openxmlformats.org/officeDocument/2006/relationships/hyperlink" Target="https://login.consultant.ru/link/?req=doc&amp;base=RLAW404&amp;n=92859&amp;date=09.10.2026&amp;dst=100113&amp;field=134" TargetMode = "External"/><Relationship Id="rId44" Type="http://schemas.openxmlformats.org/officeDocument/2006/relationships/hyperlink" Target="https://login.consultant.ru/link/?req=doc&amp;base=RLAW404&amp;n=92859&amp;date=09.10.2026&amp;dst=100115&amp;field=134" TargetMode = "External"/><Relationship Id="rId45" Type="http://schemas.openxmlformats.org/officeDocument/2006/relationships/hyperlink" Target="https://login.consultant.ru/link/?req=doc&amp;base=RLAW404&amp;n=92859&amp;date=09.10.2026&amp;dst=100116&amp;field=134" TargetMode = "External"/><Relationship Id="rId46" Type="http://schemas.openxmlformats.org/officeDocument/2006/relationships/hyperlink" Target="https://login.consultant.ru/link/?req=doc&amp;base=RLAW404&amp;n=92859&amp;date=09.10.2026&amp;dst=100117&amp;field=134" TargetMode = "External"/><Relationship Id="rId47" Type="http://schemas.openxmlformats.org/officeDocument/2006/relationships/hyperlink" Target="https://login.consultant.ru/link/?req=doc&amp;base=RLAW404&amp;n=92859&amp;date=09.10.2026&amp;dst=100130&amp;field=134" TargetMode = "External"/><Relationship Id="rId48" Type="http://schemas.openxmlformats.org/officeDocument/2006/relationships/hyperlink" Target="https://login.consultant.ru/link/?req=doc&amp;base=RLAW404&amp;n=92859&amp;date=09.10.2026&amp;dst=100137&amp;field=134" TargetMode = "External"/><Relationship Id="rId49" Type="http://schemas.openxmlformats.org/officeDocument/2006/relationships/hyperlink" Target="https://login.consultant.ru/link/?req=doc&amp;base=RLAW404&amp;n=92859&amp;date=09.10.2026&amp;dst=100139&amp;field=134" TargetMode = "External"/><Relationship Id="rId50" Type="http://schemas.openxmlformats.org/officeDocument/2006/relationships/hyperlink" Target="https://login.consultant.ru/link/?req=doc&amp;base=RLAW404&amp;n=92859&amp;date=09.10.2026&amp;dst=100140&amp;field=134" TargetMode = "External"/><Relationship Id="rId51" Type="http://schemas.openxmlformats.org/officeDocument/2006/relationships/hyperlink" Target="https://login.consultant.ru/link/?req=doc&amp;base=RLAW404&amp;n=92859&amp;date=09.10.2026&amp;dst=100141&amp;field=134" TargetMode = "External"/><Relationship Id="rId52" Type="http://schemas.openxmlformats.org/officeDocument/2006/relationships/hyperlink" Target="https://login.consultant.ru/link/?req=doc&amp;base=RLAW404&amp;n=92859&amp;date=09.10.2026&amp;dst=100142&amp;field=134" TargetMode = "External"/><Relationship Id="rId53" Type="http://schemas.openxmlformats.org/officeDocument/2006/relationships/hyperlink" Target="https://login.consultant.ru/link/?req=doc&amp;base=RLAW404&amp;n=92859&amp;date=09.10.2026&amp;dst=100143&amp;field=134" TargetMode = "External"/><Relationship Id="rId54" Type="http://schemas.openxmlformats.org/officeDocument/2006/relationships/hyperlink" Target="https://login.consultant.ru/link/?req=doc&amp;base=RLAW404&amp;n=92859&amp;date=09.10.2026&amp;dst=100142&amp;field=134" TargetMode = "External"/><Relationship Id="rId55" Type="http://schemas.openxmlformats.org/officeDocument/2006/relationships/hyperlink" Target="https://login.consultant.ru/link/?req=doc&amp;base=RLAW404&amp;n=92859&amp;date=09.10.2026&amp;dst=100146&amp;field=134" TargetMode = "External"/><Relationship Id="rId56" Type="http://schemas.openxmlformats.org/officeDocument/2006/relationships/hyperlink" Target="https://login.consultant.ru/link/?req=doc&amp;base=RLAW404&amp;n=92859&amp;date=09.10.2026&amp;dst=100142&amp;field=134" TargetMode = "External"/><Relationship Id="rId57" Type="http://schemas.openxmlformats.org/officeDocument/2006/relationships/hyperlink" Target="https://login.consultant.ru/link/?req=doc&amp;base=RLAW404&amp;n=92859&amp;date=09.10.2026&amp;dst=100142&amp;field=134" TargetMode = "External"/><Relationship Id="rId58" Type="http://schemas.openxmlformats.org/officeDocument/2006/relationships/hyperlink" Target="https://login.consultant.ru/link/?req=doc&amp;base=RLAW404&amp;n=92859&amp;date=09.10.2026&amp;dst=100150&amp;field=134" TargetMode = "External"/><Relationship Id="rId59" Type="http://schemas.openxmlformats.org/officeDocument/2006/relationships/hyperlink" Target="https://login.consultant.ru/link/?req=doc&amp;base=RLAW404&amp;n=92859&amp;date=09.10.2026&amp;dst=100142&amp;field=134" TargetMode = "External"/><Relationship Id="rId60" Type="http://schemas.openxmlformats.org/officeDocument/2006/relationships/hyperlink" Target="https://login.consultant.ru/link/?req=doc&amp;base=RLAW404&amp;n=92859&amp;date=09.10.2026&amp;dst=100151&amp;field=134" TargetMode = "External"/><Relationship Id="rId61" Type="http://schemas.openxmlformats.org/officeDocument/2006/relationships/hyperlink" Target="https://login.consultant.ru/link/?req=doc&amp;base=RLAW404&amp;n=92859&amp;date=09.10.2026&amp;dst=100142&amp;field=134" TargetMode = "External"/><Relationship Id="rId62" Type="http://schemas.openxmlformats.org/officeDocument/2006/relationships/hyperlink" Target="https://login.consultant.ru/link/?req=doc&amp;base=RLAW404&amp;n=97295&amp;date=09.10.2026&amp;dst=113435&amp;field=134" TargetMode = "External"/><Relationship Id="rId63" Type="http://schemas.openxmlformats.org/officeDocument/2006/relationships/hyperlink" Target="https://login.consultant.ru/link/?req=doc&amp;base=RLAW404&amp;n=92859&amp;date=09.10.2026&amp;dst=100153&amp;field=134" TargetMode = "External"/><Relationship Id="rId64" Type="http://schemas.openxmlformats.org/officeDocument/2006/relationships/hyperlink" Target="https://login.consultant.ru/link/?req=doc&amp;base=RLAW404&amp;n=92859&amp;date=09.10.2026&amp;dst=100154&amp;field=134" TargetMode = "External"/><Relationship Id="rId65" Type="http://schemas.openxmlformats.org/officeDocument/2006/relationships/hyperlink" Target="https://login.consultant.ru/link/?req=doc&amp;base=RLAW404&amp;n=92859&amp;date=09.10.2026&amp;dst=100155&amp;field=134" TargetMode = "External"/><Relationship Id="rId66" Type="http://schemas.openxmlformats.org/officeDocument/2006/relationships/hyperlink" Target="https://login.consultant.ru/link/?req=doc&amp;base=LAW&amp;n=513926&amp;date=09.10.2026&amp;dst=3704&amp;field=134" TargetMode = "External"/><Relationship Id="rId67" Type="http://schemas.openxmlformats.org/officeDocument/2006/relationships/hyperlink" Target="https://login.consultant.ru/link/?req=doc&amp;base=LAW&amp;n=513926&amp;date=09.10.2026&amp;dst=3722&amp;field=134" TargetMode = "External"/><Relationship Id="rId68" Type="http://schemas.openxmlformats.org/officeDocument/2006/relationships/hyperlink" Target="https://login.consultant.ru/link/?req=doc&amp;base=RLAW404&amp;n=92859&amp;date=09.10.2026&amp;dst=100157&amp;field=134" TargetMode = "External"/><Relationship Id="rId69" Type="http://schemas.openxmlformats.org/officeDocument/2006/relationships/image" Target="media/image2.wmf"/><Relationship Id="rId70" Type="http://schemas.openxmlformats.org/officeDocument/2006/relationships/hyperlink" Target="https://login.consultant.ru/link/?req=doc&amp;base=RLAW404&amp;n=92859&amp;date=09.10.2026&amp;dst=100159&amp;field=134" TargetMode = "External"/><Relationship Id="rId71" Type="http://schemas.openxmlformats.org/officeDocument/2006/relationships/hyperlink" Target="https://login.consultant.ru/link/?req=doc&amp;base=RLAW404&amp;n=92859&amp;date=09.10.2026&amp;dst=100172&amp;field=134" TargetMode = "External"/><Relationship Id="rId72" Type="http://schemas.openxmlformats.org/officeDocument/2006/relationships/hyperlink" Target="https://login.consultant.ru/link/?req=doc&amp;base=RLAW404&amp;n=92859&amp;date=09.10.2026&amp;dst=100173&amp;field=134" TargetMode = "External"/><Relationship Id="rId73" Type="http://schemas.openxmlformats.org/officeDocument/2006/relationships/hyperlink" Target="https://login.consultant.ru/link/?req=doc&amp;base=RLAW404&amp;n=92859&amp;date=09.10.2026&amp;dst=100172&amp;field=134" TargetMode = "External"/><Relationship Id="rId74" Type="http://schemas.openxmlformats.org/officeDocument/2006/relationships/hyperlink" Target="https://login.consultant.ru/link/?req=doc&amp;base=RLAW404&amp;n=92859&amp;date=09.10.2026&amp;dst=100174&amp;field=134" TargetMode = "External"/><Relationship Id="rId75" Type="http://schemas.openxmlformats.org/officeDocument/2006/relationships/hyperlink" Target="https://login.consultant.ru/link/?req=doc&amp;base=RLAW404&amp;n=92859&amp;date=09.10.2026&amp;dst=100183&amp;field=134" TargetMode = "External"/><Relationship Id="rId76" Type="http://schemas.openxmlformats.org/officeDocument/2006/relationships/header" Target="header2.xml"/><Relationship Id="rId77" Type="http://schemas.openxmlformats.org/officeDocument/2006/relationships/footer" Target="footer2.xml"/><Relationship Id="rId78" Type="http://schemas.openxmlformats.org/officeDocument/2006/relationships/hyperlink" Target="https://login.consultant.ru/link/?req=doc&amp;base=RLAW404&amp;n=92859&amp;date=09.10.2026&amp;dst=100175&amp;field=134" TargetMode = "External"/><Relationship Id="rId79" Type="http://schemas.openxmlformats.org/officeDocument/2006/relationships/hyperlink" Target="https://login.consultant.ru/link/?req=doc&amp;base=RLAW404&amp;n=92859&amp;date=09.10.2026&amp;dst=100175&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Белгородской обл. от 26.12.2022 N 805-пп
(ред. от 29.05.2023)
"Об утверждении порядка предоставления иных межбюджетных трансфертов из федерального бюджета и средств областного бюджета на реализацию регионального проекта, обеспечивающего достижение целей, показателей и результатов федерального проекта "Содействие занятости" национального проекта "Демография" по реализации дополнительных мероприятий, направленных на снижение напряженности на рынке труда Белгородской области, по фин</dc:title>
  <dcterms:created xsi:type="dcterms:W3CDTF">2026-10-09T13:58:53Z</dcterms:created>
</cp:coreProperties>
</file>