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6"/>
        <w:numPr>
          <w:ilvl w:val="0"/>
          <w:numId w:val="0"/>
        </w:numPr>
        <w:ind w:left="0" w:firstLine="0"/>
        <w:jc w:val="center"/>
        <w:spacing w:before="0" w:after="0" w:line="240" w:lineRule="auto"/>
        <w:rPr>
          <w:rFonts w:ascii="Times New Roman" w:hAnsi="Times New Roman"/>
          <w:sz w:val="28"/>
          <w:szCs w:val="28"/>
        </w:rPr>
        <w:outlineLvl w:val="2"/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Расчет издержек</w:t>
      </w:r>
      <w:r/>
    </w:p>
    <w:p>
      <w:pPr>
        <w:pStyle w:val="636"/>
        <w:numPr>
          <w:ilvl w:val="0"/>
          <w:numId w:val="0"/>
        </w:numPr>
        <w:ind w:left="0" w:firstLine="0"/>
        <w:jc w:val="center"/>
        <w:spacing w:before="0"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36"/>
        <w:numPr>
          <w:ilvl w:val="0"/>
          <w:numId w:val="0"/>
        </w:numPr>
        <w:ind w:left="0" w:firstLine="0"/>
        <w:spacing w:before="0" w:after="0" w:line="240" w:lineRule="auto"/>
        <w:rPr>
          <w:rFonts w:ascii="Times New Roman" w:hAnsi="Times New Roman" w:cs="Times New Roman"/>
          <w:b/>
          <w:bCs/>
          <w:sz w:val="26"/>
          <w:szCs w:val="26"/>
        </w:rPr>
        <w:outlineLvl w:val="2"/>
      </w:pPr>
      <w:r>
        <w:rPr>
          <w:rFonts w:ascii="Times New Roman" w:hAnsi="Times New Roman" w:cs="Times New Roman"/>
          <w:b/>
          <w:bCs/>
          <w:sz w:val="26"/>
          <w:szCs w:val="26"/>
        </w:rPr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6"/>
          <w:szCs w:val="26"/>
          <w:lang w:eastAsia="ru-RU"/>
        </w:rPr>
        <w:t xml:space="preserve">Название требования: 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Предоставление заявления и документов, </w:t>
      </w:r>
      <w:bookmarkStart w:id="1" w:name="_Hlk84854832"/>
      <w:r/>
      <w:bookmarkEnd w:id="1"/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необходимых для оказания государственной услуги по лицензированию 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торговли табачной продукцией и никотинсодержащей продукцией и развозной торговли табачной продукцией и никотинсодержащей продукцией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6"/>
          <w:szCs w:val="26"/>
          <w:u w:val="none"/>
          <w:shd w:val="clear" w:color="auto" w:fill="auto"/>
        </w:rPr>
        <w:t xml:space="preserve"> на территории Белгородской области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b/>
          <w:i w:val="0"/>
          <w:iCs w:val="0"/>
          <w:sz w:val="26"/>
          <w:szCs w:val="26"/>
        </w:rPr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bCs/>
          <w:i w:val="0"/>
          <w:iCs w:val="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6"/>
          <w:szCs w:val="26"/>
          <w:lang w:eastAsia="ru-RU"/>
        </w:rPr>
        <w:t xml:space="preserve">Условие возникновения требования: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bCs w:val="0"/>
          <w:i w:val="0"/>
          <w:color w:val="00000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</w:rPr>
        <w:t xml:space="preserve">Рассмотрение министерством сельского хозяйства и продовольствия Белгородской области заявления  и документов о предоставлении государственной услуги.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6"/>
          <w:szCs w:val="26"/>
          <w:lang w:eastAsia="ru-RU"/>
        </w:rPr>
        <w:t xml:space="preserve">Тип требования: 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Подготовка и представление документов.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</w:r>
      <w:r/>
    </w:p>
    <w:p>
      <w:pPr>
        <w:pStyle w:val="636"/>
        <w:jc w:val="both"/>
        <w:spacing w:before="0" w:after="0" w:line="240" w:lineRule="auto"/>
        <w:rPr>
          <w:i w:val="0"/>
          <w:iCs w:val="0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6"/>
          <w:szCs w:val="26"/>
          <w:lang w:eastAsia="ru-RU"/>
        </w:rPr>
        <w:t xml:space="preserve">Масштаб: 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По состоянию на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  <w:lang w:val="ru-RU"/>
        </w:rPr>
        <w:t xml:space="preserve">1 октября 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  <w:lang w:val="ru-RU"/>
        </w:rPr>
        <w:t xml:space="preserve">6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 года на территории области 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торговлю табачной продукцией и никотинсодержащей продукцией и развозную торговлю табачной продукцией и никотинсодержащей продукцией осуществляется в 3191 торговом объекте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. 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В связи с введением нового вида лицензирования розничной 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торговли табачной продукцией и никотинсодержащей продукцией и развозной торговли табачной продукцией и никотинсодержащей продукцией предполагается, что все 3191 торговых объекта обратятся за получением соответствующей лицензии, из которых: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i w:val="0"/>
          <w:iCs w:val="0"/>
          <w:sz w:val="26"/>
          <w:szCs w:val="26"/>
        </w:rPr>
      </w:pP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- 1650 торговых объектов принадлежат юридическим лицам;</w:t>
      </w:r>
      <w:r/>
    </w:p>
    <w:p>
      <w:pPr>
        <w:pStyle w:val="636"/>
        <w:jc w:val="both"/>
        <w:spacing w:before="0" w:after="0" w:line="240" w:lineRule="auto"/>
        <w:rPr>
          <w:rStyle w:val="653"/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</w:rPr>
      </w:pP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- 1541 торговы объекта принадлежат индивидуальным предпринимателям.</w:t>
      </w:r>
      <w:r/>
    </w:p>
    <w:p>
      <w:pPr>
        <w:pStyle w:val="636"/>
        <w:jc w:val="both"/>
        <w:spacing w:before="0" w:after="0" w:line="240" w:lineRule="auto"/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</w:rPr>
      </w:r>
      <w:r/>
    </w:p>
    <w:p>
      <w:pPr>
        <w:pStyle w:val="636"/>
        <w:jc w:val="both"/>
        <w:spacing w:before="0" w:after="0" w:line="240" w:lineRule="auto"/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eastAsia="Arial" w:cs="Times New Roman"/>
          <w:b/>
          <w:bCs/>
          <w:sz w:val="26"/>
          <w:szCs w:val="26"/>
          <w:lang w:eastAsia="en-US"/>
        </w:rPr>
        <w:t xml:space="preserve">Перечень документов и (или) информации, которые заявитель должен предоставить самостоятельно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:</w:t>
      </w:r>
      <w:r/>
    </w:p>
    <w:p>
      <w:pPr>
        <w:pStyle w:val="636"/>
        <w:jc w:val="both"/>
        <w:spacing w:before="0" w:after="0" w:line="240" w:lineRule="auto"/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highlight w:val="none"/>
          <w:u w:val="none"/>
        </w:rPr>
      </w:pP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заявление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 - 0,5 чел./часов;</w:t>
      </w:r>
      <w:r/>
    </w:p>
    <w:p>
      <w:pPr>
        <w:pStyle w:val="636"/>
        <w:jc w:val="both"/>
        <w:spacing w:before="0" w:after="0"/>
        <w:widowControl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- документ удостоверяющий личность заявителя (представителя заявителя)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или документ, подтверждающий полномочия представителя заявителя - 0,2 чел./час;</w:t>
      </w:r>
      <w:r/>
    </w:p>
    <w:p>
      <w:pPr>
        <w:pStyle w:val="730"/>
        <w:jc w:val="both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- сведения о государственной регистрации юридического лица/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ндивидуального предпринимателя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auto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- 0,2 чел./часа;</w:t>
      </w:r>
      <w:r/>
    </w:p>
    <w:p>
      <w:pPr>
        <w:pStyle w:val="73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- сведения о постановке юридического лица/</w:t>
      </w:r>
      <w:r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 на учет в налоговом органе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- 0,2 чел./часа;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-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вид, марка, модель, государственный регистрационный номер  транспортного средства</w:t>
      </w:r>
      <w:r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  <w:br/>
        <w:t xml:space="preserve">0,2 чел./часа;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-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кадастровый номер, номер регистрации и дата государственной регистрации в Едином государственном реестре недвижимости права собственности в отношении торгового объекта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- 0,3 чел./часа;</w:t>
      </w:r>
      <w:r/>
    </w:p>
    <w:p>
      <w:pPr>
        <w:pStyle w:val="73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- документ, подтверждающих наличие у заявителя в собственности, хозяйственном ведении, оперативном управлении, аренде или в безвозмездном пользовании объекта недвижимого имущества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- 0,2 чел./часа;</w:t>
      </w:r>
      <w:r/>
    </w:p>
    <w:p>
      <w:pPr>
        <w:pStyle w:val="730"/>
        <w:jc w:val="both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документы, подтверждающие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изменения наименования лицензиата (без его реорганизации), изменения места его нахождения или указанных в реестре лицензий адресов мест осуществления лицензируемого вида деятельности, изменения иных сведений, указанных в реестре лицензий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- 0,2 чел./часа;</w:t>
      </w:r>
      <w:r/>
    </w:p>
    <w:p>
      <w:pPr>
        <w:pStyle w:val="730"/>
        <w:jc w:val="both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документы, подтверждающие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 изменения фамилии, имени или отчества лицензиата, изменения места жительства или указанных в реестре лицензий адресов мест осуществления лицензируемого вида деятельности, изменения иных сведений, указанных в реестре лицензий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- 0,2 чел./часа.</w:t>
      </w:r>
      <w:r/>
    </w:p>
    <w:p>
      <w:pPr>
        <w:pStyle w:val="73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Итого трудозатрат: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2,2 чел./часа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6"/>
          <w:szCs w:val="26"/>
          <w:lang w:eastAsia="ru-RU"/>
        </w:rPr>
        <w:t xml:space="preserve">Частота: </w:t>
      </w: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lang w:eastAsia="ru-RU"/>
        </w:rPr>
        <w:t xml:space="preserve">1 раз в год.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</w:rPr>
      </w:pPr>
      <w:r>
        <w:rPr>
          <w:rFonts w:ascii="Times New Roman" w:hAnsi="Times New Roman" w:cs="Times New Roman"/>
          <w:b/>
          <w:i w:val="0"/>
          <w:iCs w:val="0"/>
          <w:color w:val="000000"/>
          <w:sz w:val="26"/>
          <w:szCs w:val="26"/>
          <w:shd w:val="clear" w:color="auto" w:fill="ffffff"/>
        </w:rPr>
        <w:t xml:space="preserve">Среднемесячная заработная плата по Белгородской области: </w:t>
      </w: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shd w:val="clear" w:color="auto" w:fill="ffffff"/>
          <w:lang w:val="ru-RU"/>
        </w:rPr>
        <w:t xml:space="preserve">71 632</w:t>
      </w:r>
      <w:r>
        <w:rPr>
          <w:rFonts w:ascii="Times New Roman" w:hAnsi="Times New Roman" w:cs="Times New Roman"/>
          <w:i w:val="0"/>
          <w:iCs w:val="0"/>
          <w:color w:val="000000"/>
          <w:sz w:val="26"/>
          <w:szCs w:val="26"/>
          <w:shd w:val="clear" w:color="auto" w:fill="ffffff"/>
        </w:rPr>
        <w:t xml:space="preserve"> руб.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eastAsia="Times New Roman" w:cs="Times New Roman"/>
          <w:bCs w:val="0"/>
          <w:i w:val="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  <w:t xml:space="preserve">Средняя стоимость часа работы:</w:t>
      </w:r>
      <w:r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 xml:space="preserve">529,91 </w:t>
      </w:r>
      <w:r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руб. </w:t>
      </w:r>
      <w:r/>
    </w:p>
    <w:p>
      <w:pPr>
        <w:pStyle w:val="636"/>
        <w:jc w:val="both"/>
        <w:spacing w:before="0" w:after="0" w:line="240" w:lineRule="auto"/>
        <w:rPr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lang w:val="en-US" w:eastAsia="ru-RU"/>
        </w:rPr>
        <w:t xml:space="preserve">71632 руб.</w:t>
      </w:r>
      <w:r>
        <w:rPr>
          <w:rFonts w:ascii="Times New Roman" w:hAnsi="Times New Roman" w:eastAsia="Times New Roman" w:cs="Times New Roman"/>
          <w:i w:val="0"/>
          <w:iCs w:val="0"/>
          <w:sz w:val="26"/>
          <w:szCs w:val="26"/>
          <w:lang w:eastAsia="ru-RU"/>
        </w:rPr>
        <w:t xml:space="preserve">/22 рабочих дня/ 8 рабочих часов*1,302 коэф. налоговых отчислений)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i w:val="0"/>
          <w:sz w:val="26"/>
          <w:szCs w:val="26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  <w:t xml:space="preserve">Общая стоимость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трудозатрат на подачу документов:</w:t>
      </w:r>
      <w:r>
        <w:rPr>
          <w:rFonts w:ascii="Times New Roman" w:hAnsi="Times New Roman" w:cs="Times New Roman"/>
          <w:i w:val="0"/>
          <w:iCs w:val="0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1165,8 руб.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/>
          <w:bCs w:val="0"/>
          <w:i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(529,91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</w:rPr>
        <w:t xml:space="preserve">руб.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*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2,2 чел./часа</w:t>
      </w:r>
      <w:r>
        <w:rPr>
          <w:b/>
          <w:bCs/>
        </w:rPr>
        <w:t xml:space="preserve">)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 w:cs="Times New Roman"/>
          <w:bCs w:val="0"/>
          <w:i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Cs w:val="0"/>
          <w:i w:val="0"/>
          <w:sz w:val="26"/>
          <w:szCs w:val="26"/>
        </w:rPr>
        <w:t xml:space="preserve">В соответствии с Налоговым Кодексом Российской Федерации уплачивается государственная пошлина за предоставление государственной услуги по  лицензированию </w:t>
      </w:r>
      <w:r>
        <w:rPr>
          <w:rFonts w:ascii="Times New Roman" w:hAnsi="Times New Roman" w:cs="Times New Roman"/>
          <w:bCs w:val="0"/>
          <w:i w:val="0"/>
          <w:iCs w:val="0"/>
          <w:sz w:val="26"/>
          <w:szCs w:val="26"/>
          <w:shd w:val="clear" w:color="auto" w:fill="ffffff"/>
        </w:rPr>
        <w:t xml:space="preserve">розничной 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торговли табачной продукцией и никотинсодержащей продукцией и развозной торговли табачной продукцией и никотинсодержащей продукцией  в размере </w:t>
      </w:r>
      <w:r>
        <w:rPr>
          <w:rStyle w:val="653"/>
          <w:rFonts w:ascii="Times New Roman" w:hAnsi="Times New Roman" w:cs="Times New Roman"/>
          <w:b/>
          <w:bCs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20 тыс. руб. за каждый торговый объект.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 w:val="0"/>
          <w:iCs w:val="0"/>
          <w:sz w:val="26"/>
          <w:szCs w:val="26"/>
        </w:rPr>
        <w:t xml:space="preserve">Общая стоимость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затрат хозяйствубщих субъектов: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67,54 млн. руб.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(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6"/>
          <w:szCs w:val="26"/>
          <w:lang w:val="ru-RU"/>
        </w:rPr>
        <w:t xml:space="preserve">1165,8 руб.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</w:rPr>
        <w:t xml:space="preserve"> + 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</w:rPr>
        <w:t xml:space="preserve">20 тыс. руб.)*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3191 ед.</w:t>
      </w:r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bCs w:val="0"/>
          <w:i w:val="0"/>
          <w:sz w:val="26"/>
          <w:szCs w:val="26"/>
        </w:rPr>
      </w:pPr>
      <w:r>
        <w:rPr>
          <w:rFonts w:ascii="Times New Roman" w:hAnsi="Times New Roman"/>
          <w:bCs w:val="0"/>
          <w:i w:val="0"/>
          <w:sz w:val="26"/>
          <w:szCs w:val="26"/>
        </w:rPr>
      </w:r>
      <w:r/>
    </w:p>
    <w:p>
      <w:pPr>
        <w:pStyle w:val="730"/>
        <w:jc w:val="both"/>
        <w:spacing w:before="0" w:after="0" w:line="240" w:lineRule="auto"/>
        <w:rPr>
          <w:rFonts w:ascii="Times New Roman" w:hAnsi="Times New Roman"/>
          <w:b/>
          <w:bCs/>
          <w:strike w:val="0"/>
          <w:color w:val="000000"/>
          <w:sz w:val="26"/>
          <w:szCs w:val="26"/>
          <w:u w:val="none"/>
        </w:rPr>
      </w:pPr>
      <w:r>
        <w:rPr>
          <w:rFonts w:ascii="Times New Roman" w:hAnsi="Times New Roman"/>
          <w:sz w:val="26"/>
          <w:szCs w:val="26"/>
        </w:rPr>
        <w:t xml:space="preserve">За реализацию </w:t>
      </w: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табачной продукции и никотинсодержащей продукции в торговых объектах, расположенных на территории Белгородской области без лицензии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с 1 марта 2027 года п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редусмотрена </w:t>
      </w:r>
      <w:r>
        <w:rPr>
          <w:rStyle w:val="655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административная ответственность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</w:rPr>
        <w:t xml:space="preserve"> по ч. 1 ст. 14.67 КоАП РФ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6"/>
          <w:szCs w:val="26"/>
          <w:shd w:val="clear" w:color="auto" w:fill="auto"/>
        </w:rPr>
        <w:t xml:space="preserve"> </w:t>
      </w:r>
      <w:r>
        <w:rPr>
          <w:rStyle w:val="653"/>
          <w:rFonts w:ascii="Times New Roman" w:hAnsi="Times New Roman" w:cs="Times New Roman"/>
          <w:b/>
          <w:bCs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:</w:t>
      </w:r>
      <w:r/>
    </w:p>
    <w:p>
      <w:pPr>
        <w:pStyle w:val="730"/>
        <w:jc w:val="both"/>
        <w:spacing w:before="0" w:after="0" w:line="240" w:lineRule="auto"/>
      </w:pP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- юридические лица - 300 тыс. руб.</w:t>
      </w:r>
      <w:r/>
    </w:p>
    <w:p>
      <w:pPr>
        <w:pStyle w:val="730"/>
        <w:jc w:val="both"/>
        <w:spacing w:before="0" w:after="0" w:line="240" w:lineRule="auto"/>
      </w:pPr>
      <w:r>
        <w:rPr>
          <w:rStyle w:val="653"/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/>
          <w:spacing w:val="0"/>
          <w:sz w:val="26"/>
          <w:szCs w:val="26"/>
          <w:u w:val="none"/>
          <w:shd w:val="clear" w:color="auto" w:fill="auto"/>
          <w:lang w:val="ru-RU"/>
        </w:rPr>
        <w:t xml:space="preserve">- индивидуальные предприниматели - 150 тыс. руб.</w:t>
      </w:r>
      <w:r/>
    </w:p>
    <w:p>
      <w:pPr>
        <w:pStyle w:val="730"/>
        <w:jc w:val="left"/>
        <w:spacing w:before="0" w:after="160"/>
      </w:pPr>
      <w:r/>
      <w:r/>
    </w:p>
    <w:p>
      <w:pPr>
        <w:pStyle w:val="636"/>
        <w:jc w:val="both"/>
        <w:spacing w:before="0" w:after="0" w:line="240" w:lineRule="auto"/>
        <w:rPr>
          <w:rFonts w:ascii="Times New Roman" w:hAnsi="Times New Roman"/>
          <w:bCs w:val="0"/>
          <w:i w:val="0"/>
          <w:sz w:val="26"/>
          <w:szCs w:val="26"/>
        </w:rPr>
      </w:pPr>
      <w:r>
        <w:rPr>
          <w:rFonts w:ascii="Times New Roman" w:hAnsi="Times New Roman"/>
          <w:bCs w:val="0"/>
          <w:i w:val="0"/>
          <w:sz w:val="26"/>
          <w:szCs w:val="26"/>
        </w:rPr>
      </w:r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135" w:right="567" w:bottom="679" w:left="851" w:header="142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Noto Sans CJK SC">
    <w:panose1 w:val="020B0502040504020204"/>
  </w:font>
  <w:font w:name="FreeSans">
    <w:panose1 w:val="020B0606020202030204"/>
  </w:font>
  <w:font w:name="TimesNewRomanPSMT">
    <w:panose1 w:val="020206030504050203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9"/>
      <w:jc w:val="center"/>
      <w:rPr>
        <w:rFonts w:ascii="Times New Roman" w:hAnsi="Times New Roman"/>
      </w:rPr>
    </w:pPr>
    <w:r>
      <w:rPr>
        <w:rFonts w:ascii="Times New Roman" w:hAnsi="Times New Roman"/>
      </w:rPr>
    </w:r>
    <w:r/>
  </w:p>
  <w:p>
    <w:pPr>
      <w:pStyle w:val="709"/>
      <w:jc w:val="center"/>
      <w:spacing w:before="0" w:after="160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9"/>
      <w:spacing w:before="0" w:after="1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9"/>
      <w:spacing w:before="0" w:after="1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1">
    <w:name w:val="No List"/>
    <w:uiPriority w:val="99"/>
    <w:semiHidden/>
    <w:unhideWhenUsed/>
  </w:style>
  <w:style w:type="paragraph" w:styleId="636" w:default="1">
    <w:name w:val="Normal"/>
    <w:uiPriority w:val="0"/>
    <w:qFormat/>
    <w:pPr>
      <w:jc w:val="left"/>
      <w:spacing w:before="0" w:after="160" w:line="259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paragraph" w:styleId="637">
    <w:name w:val="Heading 1"/>
    <w:basedOn w:val="636"/>
    <w:next w:val="636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38">
    <w:name w:val="Heading 2"/>
    <w:basedOn w:val="636"/>
    <w:next w:val="636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39">
    <w:name w:val="Heading 3"/>
    <w:basedOn w:val="636"/>
    <w:next w:val="636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40">
    <w:name w:val="Heading 4"/>
    <w:basedOn w:val="636"/>
    <w:next w:val="636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41">
    <w:name w:val="Heading 5"/>
    <w:basedOn w:val="636"/>
    <w:next w:val="636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42">
    <w:name w:val="Heading 6"/>
    <w:basedOn w:val="636"/>
    <w:next w:val="636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43">
    <w:name w:val="Heading 7"/>
    <w:basedOn w:val="636"/>
    <w:next w:val="636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44">
    <w:name w:val="Heading 8"/>
    <w:basedOn w:val="636"/>
    <w:next w:val="636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45">
    <w:name w:val="Heading 9"/>
    <w:basedOn w:val="636"/>
    <w:next w:val="636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46" w:default="1">
    <w:name w:val="Default Paragraph Font"/>
    <w:uiPriority w:val="1"/>
    <w:semiHidden/>
    <w:unhideWhenUsed/>
    <w:qFormat/>
  </w:style>
  <w:style w:type="character" w:styleId="647">
    <w:name w:val="Символ сноски"/>
    <w:uiPriority w:val="99"/>
    <w:unhideWhenUsed/>
    <w:qFormat/>
    <w:rPr>
      <w:vertAlign w:val="superscript"/>
    </w:rPr>
  </w:style>
  <w:style w:type="character" w:styleId="648">
    <w:name w:val="Символ сноски (user)"/>
    <w:qFormat/>
    <w:rPr>
      <w:vertAlign w:val="superscript"/>
    </w:rPr>
  </w:style>
  <w:style w:type="character" w:styleId="649">
    <w:name w:val="footnote reference"/>
    <w:rPr>
      <w:vertAlign w:val="superscript"/>
    </w:rPr>
  </w:style>
  <w:style w:type="character" w:styleId="65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51">
    <w:name w:val="Символ концевой сноски (user)"/>
    <w:qFormat/>
    <w:rPr>
      <w:vertAlign w:val="superscript"/>
    </w:rPr>
  </w:style>
  <w:style w:type="character" w:styleId="652">
    <w:name w:val="endnote reference"/>
    <w:rPr>
      <w:vertAlign w:val="superscript"/>
    </w:rPr>
  </w:style>
  <w:style w:type="character" w:styleId="653">
    <w:name w:val="Emphasis"/>
    <w:uiPriority w:val="20"/>
    <w:qFormat/>
    <w:rPr>
      <w:i/>
      <w:iCs/>
    </w:rPr>
  </w:style>
  <w:style w:type="character" w:styleId="654">
    <w:name w:val="Hyperlink"/>
    <w:uiPriority w:val="99"/>
    <w:semiHidden/>
    <w:unhideWhenUsed/>
    <w:qFormat/>
    <w:rPr>
      <w:color w:val="0000ff"/>
      <w:u w:val="single"/>
    </w:rPr>
  </w:style>
  <w:style w:type="character" w:styleId="655">
    <w:name w:val="Strong"/>
    <w:uiPriority w:val="0"/>
    <w:qFormat/>
    <w:rPr>
      <w:b/>
      <w:bCs/>
    </w:rPr>
  </w:style>
  <w:style w:type="character" w:styleId="656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57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658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59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0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1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62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63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64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65" w:customStyle="1">
    <w:name w:val="Title Char"/>
    <w:uiPriority w:val="10"/>
    <w:qFormat/>
    <w:rPr>
      <w:sz w:val="48"/>
      <w:szCs w:val="48"/>
    </w:rPr>
  </w:style>
  <w:style w:type="character" w:styleId="666" w:customStyle="1">
    <w:name w:val="Subtitle Char"/>
    <w:uiPriority w:val="11"/>
    <w:qFormat/>
    <w:rPr>
      <w:sz w:val="24"/>
      <w:szCs w:val="24"/>
    </w:rPr>
  </w:style>
  <w:style w:type="character" w:styleId="667" w:customStyle="1">
    <w:name w:val="Quote Char"/>
    <w:uiPriority w:val="29"/>
    <w:qFormat/>
    <w:rPr>
      <w:i/>
    </w:rPr>
  </w:style>
  <w:style w:type="character" w:styleId="668" w:customStyle="1">
    <w:name w:val="Intense Quote Char"/>
    <w:uiPriority w:val="30"/>
    <w:qFormat/>
    <w:rPr>
      <w:i/>
    </w:rPr>
  </w:style>
  <w:style w:type="character" w:styleId="669" w:customStyle="1">
    <w:name w:val="Footnote Text Char"/>
    <w:uiPriority w:val="99"/>
    <w:qFormat/>
    <w:rPr>
      <w:sz w:val="18"/>
    </w:rPr>
  </w:style>
  <w:style w:type="character" w:styleId="670" w:customStyle="1">
    <w:name w:val="Endnote Text Char"/>
    <w:uiPriority w:val="99"/>
    <w:qFormat/>
    <w:rPr>
      <w:sz w:val="20"/>
    </w:rPr>
  </w:style>
  <w:style w:type="character" w:styleId="67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67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67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67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Заголовок Знак"/>
    <w:uiPriority w:val="10"/>
    <w:qFormat/>
    <w:rPr>
      <w:sz w:val="48"/>
      <w:szCs w:val="48"/>
    </w:rPr>
  </w:style>
  <w:style w:type="character" w:styleId="681" w:customStyle="1">
    <w:name w:val="Подзаголовок Знак"/>
    <w:uiPriority w:val="11"/>
    <w:qFormat/>
    <w:rPr>
      <w:sz w:val="24"/>
      <w:szCs w:val="24"/>
    </w:rPr>
  </w:style>
  <w:style w:type="character" w:styleId="682" w:customStyle="1">
    <w:name w:val="Цитата 2 Знак"/>
    <w:link w:val="724"/>
    <w:uiPriority w:val="29"/>
    <w:qFormat/>
    <w:rPr>
      <w:i/>
    </w:rPr>
  </w:style>
  <w:style w:type="character" w:styleId="683" w:customStyle="1">
    <w:name w:val="Выделенная цитата Знак"/>
    <w:link w:val="725"/>
    <w:uiPriority w:val="30"/>
    <w:qFormat/>
    <w:rPr>
      <w:i/>
    </w:rPr>
  </w:style>
  <w:style w:type="character" w:styleId="684" w:customStyle="1">
    <w:name w:val="Header Char"/>
    <w:uiPriority w:val="99"/>
    <w:qFormat/>
  </w:style>
  <w:style w:type="character" w:styleId="685" w:customStyle="1">
    <w:name w:val="Footer Char"/>
    <w:uiPriority w:val="99"/>
    <w:qFormat/>
  </w:style>
  <w:style w:type="character" w:styleId="686" w:customStyle="1">
    <w:name w:val="Caption Char"/>
    <w:uiPriority w:val="99"/>
    <w:qFormat/>
  </w:style>
  <w:style w:type="character" w:styleId="687" w:customStyle="1">
    <w:name w:val="Текст сноски Знак"/>
    <w:uiPriority w:val="99"/>
    <w:qFormat/>
    <w:rPr>
      <w:sz w:val="18"/>
    </w:rPr>
  </w:style>
  <w:style w:type="character" w:styleId="688" w:customStyle="1">
    <w:name w:val="Текст концевой сноски Знак"/>
    <w:uiPriority w:val="99"/>
    <w:qFormat/>
    <w:rPr>
      <w:sz w:val="20"/>
    </w:rPr>
  </w:style>
  <w:style w:type="character" w:styleId="689" w:customStyle="1">
    <w:name w:val="Текст выноски Знак"/>
    <w:link w:val="703"/>
    <w:uiPriority w:val="99"/>
    <w:semiHidden/>
    <w:qFormat/>
    <w:rPr>
      <w:rFonts w:ascii="Segoe UI" w:hAnsi="Segoe UI" w:cs="Segoe UI"/>
      <w:sz w:val="18"/>
      <w:szCs w:val="18"/>
    </w:rPr>
  </w:style>
  <w:style w:type="character" w:styleId="690" w:customStyle="1">
    <w:name w:val="Верхний колонтитул Знак"/>
    <w:uiPriority w:val="99"/>
    <w:qFormat/>
    <w:rPr>
      <w:sz w:val="22"/>
      <w:szCs w:val="22"/>
      <w:lang w:eastAsia="en-US"/>
    </w:rPr>
  </w:style>
  <w:style w:type="character" w:styleId="691" w:customStyle="1">
    <w:name w:val="Нижний колонтитул Знак"/>
    <w:uiPriority w:val="99"/>
    <w:qFormat/>
    <w:rPr>
      <w:sz w:val="22"/>
      <w:szCs w:val="22"/>
      <w:lang w:eastAsia="en-US"/>
    </w:rPr>
  </w:style>
  <w:style w:type="character" w:styleId="692" w:customStyle="1">
    <w:name w:val="s_10"/>
    <w:basedOn w:val="646"/>
    <w:uiPriority w:val="0"/>
    <w:qFormat/>
  </w:style>
  <w:style w:type="character" w:styleId="693" w:customStyle="1">
    <w:name w:val="apple-converted-space"/>
    <w:basedOn w:val="646"/>
    <w:uiPriority w:val="0"/>
    <w:qFormat/>
  </w:style>
  <w:style w:type="character" w:styleId="694" w:customStyle="1">
    <w:name w:val="fontstyle01"/>
    <w:uiPriority w:val="0"/>
    <w:qFormat/>
    <w:rPr>
      <w:rFonts w:ascii="TimesNewRomanPSMT" w:hAnsi="TimesNewRomanPSMT"/>
      <w:color w:val="000000"/>
      <w:sz w:val="28"/>
      <w:szCs w:val="28"/>
    </w:rPr>
  </w:style>
  <w:style w:type="character" w:styleId="695" w:customStyle="1">
    <w:name w:val="Гипертекстовая ссылка"/>
    <w:uiPriority w:val="67"/>
    <w:qFormat/>
    <w:rPr>
      <w:color w:val="106bbe"/>
    </w:rPr>
  </w:style>
  <w:style w:type="paragraph" w:styleId="696">
    <w:name w:val="Заголовок"/>
    <w:basedOn w:val="636"/>
    <w:next w:val="697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97">
    <w:name w:val="Body Text"/>
    <w:basedOn w:val="636"/>
    <w:pPr>
      <w:spacing w:before="0" w:after="140" w:line="276" w:lineRule="auto"/>
    </w:pPr>
  </w:style>
  <w:style w:type="paragraph" w:styleId="698">
    <w:name w:val="List"/>
    <w:basedOn w:val="697"/>
    <w:rPr>
      <w:rFonts w:ascii="PT Astra Serif" w:hAnsi="PT Astra Serif" w:cs="FreeSans"/>
    </w:rPr>
  </w:style>
  <w:style w:type="paragraph" w:styleId="699">
    <w:name w:val="Caption"/>
    <w:basedOn w:val="636"/>
    <w:next w:val="63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700">
    <w:name w:val="Указатель"/>
    <w:basedOn w:val="636"/>
    <w:qFormat/>
    <w:pPr>
      <w:suppressLineNumbers/>
    </w:pPr>
    <w:rPr>
      <w:rFonts w:ascii="PT Astra Serif" w:hAnsi="PT Astra Serif" w:cs="FreeSans"/>
    </w:rPr>
  </w:style>
  <w:style w:type="paragraph" w:styleId="701">
    <w:name w:val="Заголовок (user)"/>
    <w:basedOn w:val="636"/>
    <w:next w:val="697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02">
    <w:name w:val="Указатель (user)"/>
    <w:basedOn w:val="636"/>
    <w:qFormat/>
    <w:pPr>
      <w:suppressLineNumbers/>
    </w:pPr>
    <w:rPr>
      <w:rFonts w:ascii="PT Astra Serif" w:hAnsi="PT Astra Serif" w:cs="FreeSans"/>
    </w:rPr>
  </w:style>
  <w:style w:type="paragraph" w:styleId="703">
    <w:name w:val="Balloon Text"/>
    <w:basedOn w:val="636"/>
    <w:link w:val="689"/>
    <w:uiPriority w:val="99"/>
    <w:semiHidden/>
    <w:unhideWhenUsed/>
    <w:qFormat/>
    <w:pPr>
      <w:spacing w:before="0" w:after="0" w:line="240" w:lineRule="auto"/>
    </w:pPr>
    <w:rPr>
      <w:rFonts w:ascii="Segoe UI" w:hAnsi="Segoe UI"/>
      <w:sz w:val="18"/>
      <w:szCs w:val="18"/>
      <w:lang w:val="en-US"/>
    </w:rPr>
  </w:style>
  <w:style w:type="paragraph" w:styleId="704">
    <w:name w:val="endnote text"/>
    <w:basedOn w:val="636"/>
    <w:link w:val="688"/>
    <w:uiPriority w:val="99"/>
    <w:semiHidden/>
    <w:unhideWhenUsed/>
    <w:qFormat/>
    <w:pPr>
      <w:spacing w:before="0" w:after="0" w:line="240" w:lineRule="auto"/>
    </w:pPr>
    <w:rPr>
      <w:sz w:val="20"/>
    </w:rPr>
  </w:style>
  <w:style w:type="paragraph" w:styleId="705">
    <w:name w:val="footnote text"/>
    <w:basedOn w:val="636"/>
    <w:link w:val="687"/>
    <w:uiPriority w:val="99"/>
    <w:semiHidden/>
    <w:unhideWhenUsed/>
    <w:qFormat/>
    <w:pPr>
      <w:spacing w:before="0" w:after="40" w:line="240" w:lineRule="auto"/>
    </w:pPr>
    <w:rPr>
      <w:sz w:val="18"/>
    </w:rPr>
  </w:style>
  <w:style w:type="paragraph" w:styleId="706">
    <w:name w:val="toc 8"/>
    <w:basedOn w:val="636"/>
    <w:next w:val="636"/>
    <w:uiPriority w:val="39"/>
    <w:unhideWhenUsed/>
    <w:qFormat/>
    <w:pPr>
      <w:ind w:left="1984"/>
      <w:spacing w:before="0" w:after="57"/>
    </w:pPr>
  </w:style>
  <w:style w:type="paragraph" w:styleId="707">
    <w:name w:val="Колонтитулы"/>
    <w:basedOn w:val="636"/>
    <w:qFormat/>
  </w:style>
  <w:style w:type="paragraph" w:styleId="708">
    <w:name w:val="Колонтитулы (user)"/>
    <w:basedOn w:val="636"/>
    <w:qFormat/>
  </w:style>
  <w:style w:type="paragraph" w:styleId="709">
    <w:name w:val="Header"/>
    <w:basedOn w:val="636"/>
    <w:link w:val="690"/>
    <w:uiPriority w:val="99"/>
    <w:unhideWhenUsed/>
    <w:qFormat/>
    <w:pPr>
      <w:tabs>
        <w:tab w:val="clear" w:pos="708" w:leader="none"/>
        <w:tab w:val="center" w:pos="4677" w:leader="none"/>
        <w:tab w:val="right" w:pos="9355" w:leader="none"/>
      </w:tabs>
    </w:pPr>
    <w:rPr>
      <w:lang w:val="en-US"/>
    </w:rPr>
  </w:style>
  <w:style w:type="paragraph" w:styleId="710">
    <w:name w:val="toc 9"/>
    <w:basedOn w:val="636"/>
    <w:next w:val="636"/>
    <w:uiPriority w:val="39"/>
    <w:unhideWhenUsed/>
    <w:qFormat/>
    <w:pPr>
      <w:ind w:left="2268"/>
      <w:spacing w:before="0" w:after="57"/>
    </w:pPr>
  </w:style>
  <w:style w:type="paragraph" w:styleId="711">
    <w:name w:val="toc 7"/>
    <w:basedOn w:val="636"/>
    <w:next w:val="636"/>
    <w:uiPriority w:val="39"/>
    <w:unhideWhenUsed/>
    <w:qFormat/>
    <w:pPr>
      <w:ind w:left="1701"/>
      <w:spacing w:before="0" w:after="57"/>
    </w:pPr>
  </w:style>
  <w:style w:type="paragraph" w:styleId="712">
    <w:name w:val="toc 1"/>
    <w:basedOn w:val="636"/>
    <w:next w:val="636"/>
    <w:uiPriority w:val="39"/>
    <w:unhideWhenUsed/>
    <w:qFormat/>
    <w:pPr>
      <w:spacing w:before="0" w:after="57"/>
    </w:pPr>
  </w:style>
  <w:style w:type="paragraph" w:styleId="713">
    <w:name w:val="toc 6"/>
    <w:basedOn w:val="636"/>
    <w:next w:val="636"/>
    <w:uiPriority w:val="39"/>
    <w:unhideWhenUsed/>
    <w:qFormat/>
    <w:pPr>
      <w:ind w:left="1417"/>
      <w:spacing w:before="0" w:after="57"/>
    </w:pPr>
  </w:style>
  <w:style w:type="paragraph" w:styleId="714">
    <w:name w:val="table of figures"/>
    <w:basedOn w:val="636"/>
    <w:next w:val="636"/>
    <w:uiPriority w:val="99"/>
    <w:unhideWhenUsed/>
    <w:qFormat/>
    <w:pPr>
      <w:spacing w:before="0" w:after="0"/>
    </w:pPr>
  </w:style>
  <w:style w:type="paragraph" w:styleId="715">
    <w:name w:val="toc 3"/>
    <w:basedOn w:val="636"/>
    <w:next w:val="636"/>
    <w:uiPriority w:val="39"/>
    <w:unhideWhenUsed/>
    <w:qFormat/>
    <w:pPr>
      <w:ind w:left="567"/>
      <w:spacing w:before="0" w:after="57"/>
    </w:pPr>
  </w:style>
  <w:style w:type="paragraph" w:styleId="716">
    <w:name w:val="toc 2"/>
    <w:basedOn w:val="636"/>
    <w:next w:val="636"/>
    <w:uiPriority w:val="39"/>
    <w:unhideWhenUsed/>
    <w:qFormat/>
    <w:pPr>
      <w:ind w:left="283"/>
      <w:spacing w:before="0" w:after="57"/>
    </w:pPr>
  </w:style>
  <w:style w:type="paragraph" w:styleId="717">
    <w:name w:val="toc 4"/>
    <w:basedOn w:val="636"/>
    <w:next w:val="636"/>
    <w:uiPriority w:val="39"/>
    <w:unhideWhenUsed/>
    <w:qFormat/>
    <w:pPr>
      <w:ind w:left="850"/>
      <w:spacing w:before="0" w:after="57"/>
    </w:pPr>
  </w:style>
  <w:style w:type="paragraph" w:styleId="718">
    <w:name w:val="toc 5"/>
    <w:basedOn w:val="636"/>
    <w:next w:val="636"/>
    <w:uiPriority w:val="39"/>
    <w:unhideWhenUsed/>
    <w:qFormat/>
    <w:pPr>
      <w:ind w:left="1134"/>
      <w:spacing w:before="0" w:after="57"/>
    </w:pPr>
  </w:style>
  <w:style w:type="paragraph" w:styleId="719">
    <w:name w:val="Title"/>
    <w:basedOn w:val="636"/>
    <w:next w:val="636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20">
    <w:name w:val="Footer"/>
    <w:basedOn w:val="636"/>
    <w:link w:val="691"/>
    <w:uiPriority w:val="99"/>
    <w:unhideWhenUsed/>
    <w:qFormat/>
    <w:pPr>
      <w:tabs>
        <w:tab w:val="clear" w:pos="708" w:leader="none"/>
        <w:tab w:val="center" w:pos="4677" w:leader="none"/>
        <w:tab w:val="right" w:pos="9355" w:leader="none"/>
      </w:tabs>
    </w:pPr>
    <w:rPr>
      <w:lang w:val="en-US"/>
    </w:rPr>
  </w:style>
  <w:style w:type="paragraph" w:styleId="721">
    <w:name w:val="Subtitle"/>
    <w:basedOn w:val="636"/>
    <w:next w:val="636"/>
    <w:link w:val="681"/>
    <w:uiPriority w:val="11"/>
    <w:qFormat/>
    <w:pPr>
      <w:spacing w:before="200" w:after="200"/>
    </w:pPr>
    <w:rPr>
      <w:sz w:val="24"/>
      <w:szCs w:val="24"/>
    </w:rPr>
  </w:style>
  <w:style w:type="paragraph" w:styleId="722">
    <w:name w:val="List Paragraph"/>
    <w:basedOn w:val="636"/>
    <w:uiPriority w:val="34"/>
    <w:qFormat/>
    <w:pPr>
      <w:contextualSpacing/>
      <w:ind w:left="720"/>
      <w:spacing w:before="0" w:after="160"/>
    </w:pPr>
  </w:style>
  <w:style w:type="paragraph" w:styleId="723">
    <w:name w:val="No Spacing"/>
    <w:basedOn w:val="636"/>
    <w:uiPriority w:val="1"/>
    <w:qFormat/>
    <w:rPr>
      <w:rFonts w:ascii="Calibri" w:hAnsi="Calibri" w:eastAsia="Calibri" w:cs="Times New Roman"/>
      <w:lang w:val="ru-RU" w:eastAsia="zh-CN" w:bidi="ar-SA"/>
    </w:rPr>
  </w:style>
  <w:style w:type="paragraph" w:styleId="724">
    <w:name w:val="Quote"/>
    <w:basedOn w:val="636"/>
    <w:next w:val="636"/>
    <w:link w:val="682"/>
    <w:uiPriority w:val="29"/>
    <w:qFormat/>
    <w:pPr>
      <w:ind w:left="720" w:right="720"/>
    </w:pPr>
    <w:rPr>
      <w:i/>
    </w:rPr>
  </w:style>
  <w:style w:type="paragraph" w:styleId="725">
    <w:name w:val="Intense Quote"/>
    <w:basedOn w:val="636"/>
    <w:next w:val="636"/>
    <w:link w:val="6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6">
    <w:name w:val="index heading"/>
    <w:basedOn w:val="696"/>
  </w:style>
  <w:style w:type="paragraph" w:styleId="727" w:customStyle="1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728" w:customStyle="1">
    <w:name w:val="ConsPlusNormal"/>
    <w:uiPriority w:val="0"/>
    <w:qFormat/>
    <w:pPr>
      <w:jc w:val="left"/>
      <w:spacing w:before="0" w:after="0"/>
      <w:widowControl w:val="off"/>
    </w:pPr>
    <w:rPr>
      <w:rFonts w:ascii="Calibri" w:hAnsi="Calibri" w:eastAsia="Times New Roman" w:cs="Calibri"/>
      <w:color w:val="auto"/>
      <w:sz w:val="22"/>
      <w:szCs w:val="20"/>
      <w:lang w:val="ru-RU" w:eastAsia="ru-RU" w:bidi="ar-SA"/>
    </w:rPr>
  </w:style>
  <w:style w:type="paragraph" w:styleId="729" w:customStyle="1">
    <w:name w:val="1"/>
    <w:basedOn w:val="636"/>
    <w:uiPriority w:val="0"/>
    <w:qFormat/>
    <w:pPr>
      <w:spacing w:line="240" w:lineRule="exact"/>
    </w:pPr>
    <w:rPr>
      <w:rFonts w:ascii="Verdana" w:hAnsi="Verdana" w:eastAsia="Times New Roman"/>
      <w:sz w:val="20"/>
      <w:szCs w:val="20"/>
      <w:lang w:val="en-US"/>
    </w:rPr>
  </w:style>
  <w:style w:type="paragraph" w:styleId="730">
    <w:name w:val="Содержимое таблицы"/>
    <w:basedOn w:val="636"/>
    <w:qFormat/>
    <w:pPr>
      <w:widowControl w:val="off"/>
      <w:suppressLineNumbers/>
    </w:pPr>
  </w:style>
  <w:style w:type="paragraph" w:styleId="731">
    <w:name w:val="Содержимое таблицы (user)"/>
    <w:basedOn w:val="636"/>
    <w:qFormat/>
    <w:pPr>
      <w:widowControl w:val="off"/>
      <w:suppressLineNumbers/>
    </w:pPr>
  </w:style>
  <w:style w:type="paragraph" w:styleId="732">
    <w:name w:val="Заголовок таблицы (user)"/>
    <w:basedOn w:val="731"/>
    <w:qFormat/>
    <w:pPr>
      <w:jc w:val="center"/>
      <w:suppressLineNumbers/>
    </w:pPr>
    <w:rPr>
      <w:b/>
      <w:bCs/>
    </w:rPr>
  </w:style>
  <w:style w:type="numbering" w:styleId="733" w:default="1">
    <w:name w:val="Без списка"/>
    <w:uiPriority w:val="99"/>
    <w:semiHidden/>
    <w:unhideWhenUsed/>
    <w:qFormat/>
  </w:style>
  <w:style w:type="table" w:styleId="734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"/>
    <w:basedOn w:val="734"/>
    <w:uiPriority w:val="3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6" w:customStyle="1">
    <w:name w:val="Table Grid Light"/>
    <w:uiPriority w:val="59"/>
    <w:qFormat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Plain Table 1"/>
    <w:uiPriority w:val="59"/>
    <w:qFormat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 w:customStyle="1">
    <w:name w:val="Plain Table 2"/>
    <w:uiPriority w:val="59"/>
    <w:qFormat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 w:customStyle="1">
    <w:name w:val="Plain Table 3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Plain Table 4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Plain Table 5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1 Light"/>
    <w:uiPriority w:val="99"/>
    <w:qFormat/>
    <w:rPr>
      <w:lang w:eastAsia="zh-CN"/>
    </w:rPr>
    <w:tblP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1 Light - Accent 1"/>
    <w:uiPriority w:val="99"/>
    <w:qFormat/>
    <w:rPr>
      <w:lang w:eastAsia="zh-CN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1 Light - Accent 2"/>
    <w:uiPriority w:val="99"/>
    <w:qFormat/>
    <w:rPr>
      <w:lang w:eastAsia="zh-CN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1 Light - Accent 3"/>
    <w:uiPriority w:val="99"/>
    <w:qFormat/>
    <w:rPr>
      <w:lang w:eastAsia="zh-CN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1 Light - Accent 4"/>
    <w:uiPriority w:val="99"/>
    <w:qFormat/>
    <w:rPr>
      <w:lang w:eastAsia="zh-CN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1 Light - Accent 5"/>
    <w:uiPriority w:val="99"/>
    <w:qFormat/>
    <w:rPr>
      <w:lang w:eastAsia="zh-CN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6"/>
    <w:uiPriority w:val="99"/>
    <w:qFormat/>
    <w:rPr>
      <w:lang w:eastAsia="zh-CN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2"/>
    <w:uiPriority w:val="99"/>
    <w:qFormat/>
    <w:rPr>
      <w:lang w:eastAsia="zh-CN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2 - Accent 1"/>
    <w:uiPriority w:val="99"/>
    <w:qFormat/>
    <w:rPr>
      <w:lang w:eastAsia="zh-CN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2 - Accent 2"/>
    <w:uiPriority w:val="99"/>
    <w:qFormat/>
    <w:rPr>
      <w:lang w:eastAsia="zh-CN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2 - Accent 3"/>
    <w:uiPriority w:val="99"/>
    <w:qFormat/>
    <w:rPr>
      <w:lang w:eastAsia="zh-CN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2 - Accent 4"/>
    <w:uiPriority w:val="99"/>
    <w:qFormat/>
    <w:rPr>
      <w:lang w:eastAsia="zh-CN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2 - Accent 5"/>
    <w:uiPriority w:val="99"/>
    <w:qFormat/>
    <w:rPr>
      <w:lang w:eastAsia="zh-CN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6"/>
    <w:uiPriority w:val="99"/>
    <w:qFormat/>
    <w:rPr>
      <w:lang w:eastAsia="zh-CN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3"/>
    <w:uiPriority w:val="99"/>
    <w:qFormat/>
    <w:rPr>
      <w:lang w:eastAsia="zh-CN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3 - Accent 1"/>
    <w:uiPriority w:val="99"/>
    <w:qFormat/>
    <w:rPr>
      <w:lang w:eastAsia="zh-CN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3 - Accent 2"/>
    <w:uiPriority w:val="99"/>
    <w:qFormat/>
    <w:rPr>
      <w:lang w:eastAsia="zh-CN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3 - Accent 3"/>
    <w:uiPriority w:val="99"/>
    <w:qFormat/>
    <w:rPr>
      <w:lang w:eastAsia="zh-CN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3 - Accent 4"/>
    <w:uiPriority w:val="99"/>
    <w:qFormat/>
    <w:rPr>
      <w:lang w:eastAsia="zh-CN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3 - Accent 5"/>
    <w:uiPriority w:val="99"/>
    <w:qFormat/>
    <w:rPr>
      <w:lang w:eastAsia="zh-CN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6"/>
    <w:uiPriority w:val="99"/>
    <w:qFormat/>
    <w:rPr>
      <w:lang w:eastAsia="zh-CN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4"/>
    <w:uiPriority w:val="59"/>
    <w:qFormat/>
    <w:rPr>
      <w:lang w:eastAsia="zh-CN"/>
    </w:rPr>
    <w:tblP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4 - Accent 1"/>
    <w:uiPriority w:val="59"/>
    <w:qFormat/>
    <w:rPr>
      <w:lang w:eastAsia="zh-CN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4 - Accent 2"/>
    <w:uiPriority w:val="59"/>
    <w:qFormat/>
    <w:rPr>
      <w:lang w:eastAsia="zh-CN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4 - Accent 3"/>
    <w:uiPriority w:val="59"/>
    <w:qFormat/>
    <w:rPr>
      <w:lang w:eastAsia="zh-CN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4 - Accent 4"/>
    <w:uiPriority w:val="59"/>
    <w:qFormat/>
    <w:rPr>
      <w:lang w:eastAsia="zh-CN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4 - Accent 5"/>
    <w:uiPriority w:val="59"/>
    <w:qFormat/>
    <w:rPr>
      <w:lang w:eastAsia="zh-CN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6"/>
    <w:uiPriority w:val="59"/>
    <w:qFormat/>
    <w:rPr>
      <w:lang w:eastAsia="zh-CN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5 Dark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5 Dark- Accent 1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5 Dark - Accent 2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5 Dark - Accent 3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5 Dark- Accent 4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5 Dark - Accent 5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 - Accent 6"/>
    <w:uiPriority w:val="99"/>
    <w:qFormat/>
    <w:rPr>
      <w:lang w:eastAsia="zh-CN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6 Colorful"/>
    <w:uiPriority w:val="99"/>
    <w:qFormat/>
    <w:rPr>
      <w:lang w:eastAsia="zh-CN"/>
    </w:rPr>
    <w:tblP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6 Colorful - Accent 1"/>
    <w:uiPriority w:val="99"/>
    <w:qFormat/>
    <w:rPr>
      <w:lang w:eastAsia="zh-CN"/>
    </w:rPr>
    <w:tblP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6 Colorful - Accent 2"/>
    <w:uiPriority w:val="99"/>
    <w:qFormat/>
    <w:rPr>
      <w:lang w:eastAsia="zh-CN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6 Colorful - Accent 3"/>
    <w:uiPriority w:val="99"/>
    <w:qFormat/>
    <w:rPr>
      <w:lang w:eastAsia="zh-CN"/>
    </w:rPr>
    <w:tblP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6 Colorful - Accent 4"/>
    <w:uiPriority w:val="99"/>
    <w:qFormat/>
    <w:rPr>
      <w:lang w:eastAsia="zh-CN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6 Colorful - Accent 5"/>
    <w:uiPriority w:val="99"/>
    <w:qFormat/>
    <w:rPr>
      <w:lang w:eastAsia="zh-CN"/>
    </w:rPr>
    <w:tblP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6"/>
    <w:uiPriority w:val="99"/>
    <w:qFormat/>
    <w:rPr>
      <w:lang w:eastAsia="zh-CN"/>
    </w:rPr>
    <w:tblP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7 Colorful"/>
    <w:uiPriority w:val="99"/>
    <w:qFormat/>
    <w:rPr>
      <w:lang w:eastAsia="zh-CN"/>
    </w:rPr>
    <w:tblP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7 Colorful - Accent 1"/>
    <w:uiPriority w:val="99"/>
    <w:qFormat/>
    <w:rPr>
      <w:lang w:eastAsia="zh-CN"/>
    </w:rPr>
    <w:tblP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7 Colorful - Accent 2"/>
    <w:uiPriority w:val="99"/>
    <w:qFormat/>
    <w:rPr>
      <w:lang w:eastAsia="zh-CN"/>
    </w:rPr>
    <w:tblP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7 Colorful - Accent 3"/>
    <w:uiPriority w:val="99"/>
    <w:qFormat/>
    <w:rPr>
      <w:lang w:eastAsia="zh-CN"/>
    </w:rPr>
    <w:tblP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7 Colorful - Accent 4"/>
    <w:uiPriority w:val="99"/>
    <w:qFormat/>
    <w:rPr>
      <w:lang w:eastAsia="zh-CN"/>
    </w:rPr>
    <w:tblP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7 Colorful - Accent 5"/>
    <w:uiPriority w:val="99"/>
    <w:qFormat/>
    <w:rPr>
      <w:lang w:eastAsia="zh-CN"/>
    </w:rPr>
    <w:tblP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6"/>
    <w:uiPriority w:val="99"/>
    <w:qFormat/>
    <w:rPr>
      <w:lang w:eastAsia="zh-CN"/>
    </w:rPr>
    <w:tblP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1 Light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1 Light - Accent 1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1 Light - Accent 2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1 Light - Accent 3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1 Light - Accent 4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1 Light - Accent 5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6"/>
    <w:uiPriority w:val="99"/>
    <w:qFormat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2"/>
    <w:uiPriority w:val="99"/>
    <w:qFormat/>
    <w:rPr>
      <w:lang w:eastAsia="zh-CN"/>
    </w:rPr>
    <w:tblPr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2 - Accent 1"/>
    <w:uiPriority w:val="99"/>
    <w:qFormat/>
    <w:rPr>
      <w:lang w:eastAsia="zh-CN"/>
    </w:rPr>
    <w:tblPr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2 - Accent 2"/>
    <w:uiPriority w:val="99"/>
    <w:qFormat/>
    <w:rPr>
      <w:lang w:eastAsia="zh-CN"/>
    </w:rPr>
    <w:tblPr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2 - Accent 3"/>
    <w:uiPriority w:val="99"/>
    <w:qFormat/>
    <w:rPr>
      <w:lang w:eastAsia="zh-CN"/>
    </w:rPr>
    <w:tblPr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2 - Accent 4"/>
    <w:uiPriority w:val="99"/>
    <w:qFormat/>
    <w:rPr>
      <w:lang w:eastAsia="zh-CN"/>
    </w:rPr>
    <w:tblPr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2 - Accent 5"/>
    <w:uiPriority w:val="99"/>
    <w:qFormat/>
    <w:rPr>
      <w:lang w:eastAsia="zh-CN"/>
    </w:rPr>
    <w:tblPr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6"/>
    <w:uiPriority w:val="99"/>
    <w:qFormat/>
    <w:rPr>
      <w:lang w:eastAsia="zh-CN"/>
    </w:rPr>
    <w:tblPr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3"/>
    <w:uiPriority w:val="99"/>
    <w:qFormat/>
    <w:rPr>
      <w:lang w:eastAsia="zh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3 - Accent 1"/>
    <w:uiPriority w:val="99"/>
    <w:qFormat/>
    <w:rPr>
      <w:lang w:eastAsia="zh-CN"/>
    </w:rPr>
    <w:tblP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3 - Accent 2"/>
    <w:uiPriority w:val="99"/>
    <w:qFormat/>
    <w:rPr>
      <w:lang w:eastAsia="zh-CN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3 - Accent 3"/>
    <w:uiPriority w:val="99"/>
    <w:qFormat/>
    <w:rPr>
      <w:lang w:eastAsia="zh-CN"/>
    </w:rPr>
    <w:tblP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3 - Accent 4"/>
    <w:uiPriority w:val="99"/>
    <w:qFormat/>
    <w:rPr>
      <w:lang w:eastAsia="zh-CN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3 - Accent 5"/>
    <w:uiPriority w:val="99"/>
    <w:qFormat/>
    <w:rPr>
      <w:lang w:eastAsia="zh-CN"/>
    </w:rPr>
    <w:tblP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6"/>
    <w:uiPriority w:val="99"/>
    <w:qFormat/>
    <w:rPr>
      <w:lang w:eastAsia="zh-CN"/>
    </w:rPr>
    <w:tblP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4"/>
    <w:uiPriority w:val="99"/>
    <w:qFormat/>
    <w:rPr>
      <w:lang w:eastAsia="zh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4 - Accent 1"/>
    <w:uiPriority w:val="99"/>
    <w:qFormat/>
    <w:rPr>
      <w:lang w:eastAsia="zh-CN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4 - Accent 2"/>
    <w:uiPriority w:val="99"/>
    <w:qFormat/>
    <w:rPr>
      <w:lang w:eastAsia="zh-CN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4 - Accent 3"/>
    <w:uiPriority w:val="99"/>
    <w:qFormat/>
    <w:rPr>
      <w:lang w:eastAsia="zh-CN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4 - Accent 4"/>
    <w:uiPriority w:val="99"/>
    <w:qFormat/>
    <w:rPr>
      <w:lang w:eastAsia="zh-CN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4 - Accent 5"/>
    <w:uiPriority w:val="99"/>
    <w:qFormat/>
    <w:rPr>
      <w:lang w:eastAsia="zh-CN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6"/>
    <w:uiPriority w:val="99"/>
    <w:qFormat/>
    <w:rPr>
      <w:lang w:eastAsia="zh-CN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5 Dark"/>
    <w:uiPriority w:val="99"/>
    <w:qFormat/>
    <w:rPr>
      <w:lang w:eastAsia="zh-CN"/>
    </w:rPr>
    <w:tblP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5 Dark - Accent 1"/>
    <w:uiPriority w:val="99"/>
    <w:qFormat/>
    <w:rPr>
      <w:lang w:eastAsia="zh-CN"/>
    </w:rPr>
    <w:tblP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5 Dark - Accent 2"/>
    <w:uiPriority w:val="99"/>
    <w:qFormat/>
    <w:rPr>
      <w:lang w:eastAsia="zh-CN"/>
    </w:rPr>
    <w:tblP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5 Dark - Accent 3"/>
    <w:uiPriority w:val="99"/>
    <w:qFormat/>
    <w:rPr>
      <w:lang w:eastAsia="zh-CN"/>
    </w:rPr>
    <w:tblP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5 Dark - Accent 4"/>
    <w:uiPriority w:val="99"/>
    <w:qFormat/>
    <w:rPr>
      <w:lang w:eastAsia="zh-CN"/>
    </w:rPr>
    <w:tblP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5 Dark - Accent 5"/>
    <w:uiPriority w:val="99"/>
    <w:qFormat/>
    <w:rPr>
      <w:lang w:eastAsia="zh-CN"/>
    </w:rPr>
    <w:tblP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6"/>
    <w:uiPriority w:val="99"/>
    <w:qFormat/>
    <w:rPr>
      <w:lang w:eastAsia="zh-CN"/>
    </w:rPr>
    <w:tblP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6 Colorful"/>
    <w:uiPriority w:val="99"/>
    <w:qFormat/>
    <w:rPr>
      <w:lang w:eastAsia="zh-CN"/>
    </w:rPr>
    <w:tblPr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6 Colorful - Accent 1"/>
    <w:uiPriority w:val="99"/>
    <w:qFormat/>
    <w:rPr>
      <w:lang w:eastAsia="zh-CN"/>
    </w:rPr>
    <w:tblPr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6 Colorful - Accent 2"/>
    <w:uiPriority w:val="99"/>
    <w:qFormat/>
    <w:rPr>
      <w:lang w:eastAsia="zh-CN"/>
    </w:rPr>
    <w:tblPr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6 Colorful - Accent 3"/>
    <w:uiPriority w:val="99"/>
    <w:qFormat/>
    <w:rPr>
      <w:lang w:eastAsia="zh-CN"/>
    </w:rPr>
    <w:tblPr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6 Colorful - Accent 4"/>
    <w:uiPriority w:val="99"/>
    <w:qFormat/>
    <w:rPr>
      <w:lang w:eastAsia="zh-CN"/>
    </w:rPr>
    <w:tblPr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6 Colorful - Accent 5"/>
    <w:uiPriority w:val="99"/>
    <w:qFormat/>
    <w:rPr>
      <w:lang w:eastAsia="zh-CN"/>
    </w:rPr>
    <w:tblPr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6"/>
    <w:uiPriority w:val="99"/>
    <w:qFormat/>
    <w:rPr>
      <w:lang w:eastAsia="zh-CN"/>
    </w:rPr>
    <w:tblPr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7 Colorful"/>
    <w:uiPriority w:val="99"/>
    <w:qFormat/>
    <w:rPr>
      <w:lang w:eastAsia="zh-CN"/>
    </w:rPr>
    <w:tblPr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7 Colorful - Accent 1"/>
    <w:uiPriority w:val="99"/>
    <w:qFormat/>
    <w:rPr>
      <w:lang w:eastAsia="zh-CN"/>
    </w:rPr>
    <w:tblPr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7 Colorful - Accent 2"/>
    <w:uiPriority w:val="99"/>
    <w:qFormat/>
    <w:rPr>
      <w:lang w:eastAsia="zh-CN"/>
    </w:rPr>
    <w:tblPr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7 Colorful - Accent 3"/>
    <w:uiPriority w:val="99"/>
    <w:qFormat/>
    <w:rPr>
      <w:lang w:eastAsia="zh-CN"/>
    </w:rPr>
    <w:tblPr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7 Colorful - Accent 4"/>
    <w:uiPriority w:val="99"/>
    <w:qFormat/>
    <w:rPr>
      <w:lang w:eastAsia="zh-CN"/>
    </w:rPr>
    <w:tblPr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7 Colorful - Accent 5"/>
    <w:uiPriority w:val="99"/>
    <w:qFormat/>
    <w:rPr>
      <w:lang w:eastAsia="zh-CN"/>
    </w:rPr>
    <w:tblPr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6"/>
    <w:uiPriority w:val="99"/>
    <w:qFormat/>
    <w:rPr>
      <w:lang w:eastAsia="zh-CN"/>
    </w:rPr>
    <w:tblPr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ned - Accent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ned - Accent 1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ned - Accent 2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ned - Accent 3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ned - Accent 4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 5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6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&amp; Lined - Accent"/>
    <w:uiPriority w:val="99"/>
    <w:qFormat/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&amp; Lined - Accent 1"/>
    <w:uiPriority w:val="99"/>
    <w:qFormat/>
    <w:tblP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&amp; Lined - Accent 2"/>
    <w:uiPriority w:val="99"/>
    <w:qFormat/>
    <w:tblP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&amp; Lined - Accent 3"/>
    <w:uiPriority w:val="99"/>
    <w:qFormat/>
    <w:tblP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&amp; Lined - Accent 4"/>
    <w:uiPriority w:val="99"/>
    <w:qFormat/>
    <w:tblP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 5"/>
    <w:uiPriority w:val="99"/>
    <w:qFormat/>
    <w:tblP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6"/>
    <w:uiPriority w:val="99"/>
    <w:qFormat/>
    <w:tblP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"/>
    <w:uiPriority w:val="99"/>
    <w:qFormat/>
    <w:rPr>
      <w:lang w:eastAsia="zh-CN"/>
    </w:rPr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- Accent 1"/>
    <w:uiPriority w:val="99"/>
    <w:qFormat/>
    <w:rPr>
      <w:lang w:eastAsia="zh-CN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- Accent 2"/>
    <w:uiPriority w:val="99"/>
    <w:qFormat/>
    <w:rPr>
      <w:lang w:eastAsia="zh-CN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- Accent 3"/>
    <w:uiPriority w:val="99"/>
    <w:qFormat/>
    <w:rPr>
      <w:lang w:eastAsia="zh-CN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- Accent 4"/>
    <w:uiPriority w:val="99"/>
    <w:qFormat/>
    <w:rPr>
      <w:lang w:eastAsia="zh-CN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- Accent 5"/>
    <w:uiPriority w:val="99"/>
    <w:qFormat/>
    <w:rPr>
      <w:lang w:eastAsia="zh-CN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6"/>
    <w:uiPriority w:val="99"/>
    <w:qFormat/>
    <w:rPr>
      <w:lang w:eastAsia="zh-CN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Microsoft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Брынцева Елена Анатольевна</dc:creator>
  <dc:description/>
  <dc:language>ru-RU</dc:language>
  <cp:revision>124</cp:revision>
  <dcterms:created xsi:type="dcterms:W3CDTF">2022-12-23T18:10:00Z</dcterms:created>
  <dcterms:modified xsi:type="dcterms:W3CDTF">2026-10-07T07:17:12Z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