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15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Расчет стандартных издержек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sz w:val="24"/>
          <w:szCs w:val="24"/>
        </w:rPr>
      </w:r>
    </w:p>
    <w:p>
      <w:pPr>
        <w:pStyle w:val="815"/>
        <w:ind w:firstLine="708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юридических лиц (за исключением государственных (муниципальных) учреждений), индивидуальных предпринимателей </w:t>
      </w:r>
      <w:r>
        <w:rPr>
          <w:rFonts w:ascii="Times New Roman" w:hAnsi="Times New Roman"/>
          <w:b/>
          <w:sz w:val="24"/>
          <w:szCs w:val="24"/>
        </w:rPr>
        <w:t xml:space="preserve">для получения субсидии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br/>
      </w:r>
      <w:r>
        <w:rPr>
          <w:rFonts w:ascii="Times New Roman" w:hAnsi="Times New Roman"/>
          <w:b/>
          <w:sz w:val="24"/>
          <w:szCs w:val="24"/>
        </w:rPr>
        <w:t xml:space="preserve">на </w:t>
      </w:r>
      <w:r>
        <w:rPr>
          <w:rFonts w:ascii="Times New Roman" w:hAnsi="Times New Roman"/>
          <w:b/>
          <w:sz w:val="24"/>
          <w:szCs w:val="24"/>
        </w:rPr>
        <w:t xml:space="preserve">организацию профессионального обучения и дополнительного профессионального образования</w:t>
      </w:r>
      <w:r>
        <w:rPr>
          <w:rFonts w:ascii="Times New Roman" w:hAnsi="Times New Roman"/>
          <w:b/>
          <w:sz w:val="24"/>
          <w:szCs w:val="24"/>
        </w:rPr>
        <w:t xml:space="preserve"> работников предприятий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оборонно-промышленного комплекса</w:t>
      </w:r>
      <w:r>
        <w:rPr>
          <w:rFonts w:ascii="Times New Roman" w:hAnsi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 xml:space="preserve">а также граждан, обратившихся в органы службы занятости за содействием в поиске подходящей работы </w:t>
      </w:r>
      <w:r>
        <w:rPr>
          <w:rFonts w:ascii="Times New Roman" w:hAnsi="Times New Roman" w:cs="Times New Roman"/>
          <w:b/>
          <w:sz w:val="24"/>
          <w:szCs w:val="24"/>
        </w:rPr>
        <w:t xml:space="preserve">и заключивших ученический договор с предприятиями </w:t>
      </w: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оборонно-промышленного комплекса</w:t>
      </w:r>
      <w:r>
        <w:rPr>
          <w:rFonts w:ascii="Times New Roman" w:hAnsi="Times New Roman"/>
          <w:b/>
          <w:i/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Названия требования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sz w:val="24"/>
          <w:szCs w:val="24"/>
        </w:rPr>
      </w:r>
    </w:p>
    <w:p>
      <w:pPr>
        <w:pStyle w:val="815"/>
        <w:ind w:firstLine="708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Представление документов для получения 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субсидий 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за счет бюджетных средств 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на </w:t>
      </w:r>
      <w:r>
        <w:rPr>
          <w:rFonts w:ascii="Times New Roman" w:hAnsi="Times New Roman"/>
          <w:i/>
          <w:sz w:val="24"/>
          <w:szCs w:val="24"/>
        </w:rPr>
        <w:t xml:space="preserve">организацию профессиональн</w:t>
      </w:r>
      <w:r>
        <w:rPr>
          <w:rFonts w:ascii="Times New Roman" w:hAnsi="Times New Roman"/>
          <w:i/>
          <w:sz w:val="24"/>
          <w:szCs w:val="24"/>
        </w:rPr>
        <w:t xml:space="preserve">ого обучения и дополнительного профессионального образования работников предприятий оборонно-промышленного комплекса в целях недопущение напряженности на рынке труда, ухудшения ситуации на отдельных предприятиях оборонно-промышленного комплекса в условиях </w:t>
      </w:r>
      <w:r>
        <w:rPr>
          <w:rFonts w:ascii="Times New Roman" w:hAnsi="Times New Roman"/>
          <w:i/>
          <w:sz w:val="24"/>
          <w:szCs w:val="24"/>
        </w:rPr>
        <w:t xml:space="preserve">санкционных</w:t>
      </w:r>
      <w:r>
        <w:rPr>
          <w:rFonts w:ascii="Times New Roman" w:hAnsi="Times New Roman"/>
          <w:i/>
          <w:sz w:val="24"/>
          <w:szCs w:val="24"/>
        </w:rPr>
        <w:t xml:space="preserve"> ограничений и проведения специальной военной операции</w:t>
      </w:r>
      <w:r>
        <w:rPr>
          <w:rFonts w:ascii="Times New Roman" w:hAnsi="Times New Roman"/>
          <w:i/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r>
      <w:r>
        <w:rPr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Тип требования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r>
      <w:r>
        <w:rPr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Подготовка и представление документов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r>
      <w:r>
        <w:rPr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highlight w:val="none"/>
          <w:shd w:val="clear" w:color="auto" w:fill="ffffff"/>
        </w:rPr>
      </w:r>
      <w:r>
        <w:rPr>
          <w:rFonts w:ascii="Times New Roman" w:hAnsi="Times New Roman" w:cs="Times New Roman"/>
          <w:i/>
          <w:color w:val="000000"/>
          <w:sz w:val="24"/>
          <w:szCs w:val="24"/>
          <w:highlight w:val="none"/>
          <w:shd w:val="clear" w:color="auto" w:fill="ffffff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i/>
          <w:color w:val="000000"/>
          <w:sz w:val="24"/>
          <w:szCs w:val="24"/>
          <w:highlight w:val="none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Масштаб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: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6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ед.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r>
      <w:r>
        <w:rPr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r>
      <w:r>
        <w:rPr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Частота: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r>
      <w:r>
        <w:rPr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i/>
          <w:sz w:val="24"/>
          <w:szCs w:val="24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Один раз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 в год. 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r>
      <w:r>
        <w:rPr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cs="Times New Roman"/>
          <w:i/>
          <w:color w:val="ff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color w:val="ff0000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i/>
          <w:color w:val="ff0000"/>
          <w:sz w:val="24"/>
          <w:szCs w:val="24"/>
          <w:shd w:val="clear" w:color="auto" w:fill="ffffff"/>
        </w:rPr>
      </w:r>
      <w:r>
        <w:rPr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Действия: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r>
      <w:r>
        <w:rPr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Подготовка документа: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r>
      <w:r>
        <w:rPr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- </w:t>
      </w:r>
      <w:r>
        <w:rPr>
          <w:rFonts w:ascii="Times New Roman" w:hAnsi="Times New Roman" w:cs="Times New Roman"/>
          <w:i/>
          <w:sz w:val="24"/>
          <w:szCs w:val="24"/>
        </w:rPr>
        <w:t xml:space="preserve">Заявка на участие в отборе работодателей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по установленной форме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–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3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чел./час;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r>
      <w:r>
        <w:rPr>
          <w:sz w:val="24"/>
          <w:szCs w:val="24"/>
        </w:rPr>
      </w:r>
    </w:p>
    <w:p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>
        <w:rPr>
          <w:rFonts w:ascii="Times New Roman" w:hAnsi="Times New Roman" w:cs="Times New Roman"/>
          <w:i/>
          <w:sz w:val="24"/>
          <w:szCs w:val="24"/>
        </w:rPr>
        <w:t xml:space="preserve">пояснительная записка</w:t>
      </w:r>
      <w:r>
        <w:rPr>
          <w:rFonts w:ascii="Times New Roman" w:hAnsi="Times New Roman" w:cs="Times New Roman"/>
          <w:i/>
          <w:sz w:val="24"/>
          <w:szCs w:val="24"/>
        </w:rPr>
        <w:t xml:space="preserve"> по установленной</w:t>
      </w:r>
      <w:r>
        <w:rPr>
          <w:rFonts w:ascii="Times New Roman" w:hAnsi="Times New Roman" w:cs="Times New Roman"/>
          <w:i/>
          <w:sz w:val="24"/>
          <w:szCs w:val="24"/>
        </w:rPr>
        <w:t xml:space="preserve"> форме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– </w:t>
      </w:r>
      <w:r>
        <w:rPr>
          <w:rFonts w:ascii="Times New Roman" w:hAnsi="Times New Roman" w:cs="Times New Roman"/>
          <w:i/>
          <w:sz w:val="24"/>
          <w:szCs w:val="24"/>
        </w:rPr>
        <w:t xml:space="preserve">2</w:t>
      </w:r>
      <w:r>
        <w:rPr>
          <w:rFonts w:ascii="Times New Roman" w:hAnsi="Times New Roman" w:cs="Times New Roman"/>
          <w:i/>
          <w:sz w:val="24"/>
          <w:szCs w:val="24"/>
        </w:rPr>
        <w:t xml:space="preserve"> чел./часов</w:t>
      </w:r>
      <w:r>
        <w:rPr>
          <w:rFonts w:ascii="Times New Roman" w:hAnsi="Times New Roman" w:cs="Times New Roman"/>
          <w:i/>
          <w:sz w:val="24"/>
          <w:szCs w:val="24"/>
        </w:rPr>
        <w:t xml:space="preserve">;</w:t>
      </w:r>
      <w:r>
        <w:rPr>
          <w:rFonts w:ascii="Times New Roman" w:hAnsi="Times New Roman" w:cs="Times New Roman"/>
          <w:i/>
          <w:sz w:val="24"/>
          <w:szCs w:val="24"/>
        </w:rPr>
      </w:r>
      <w:r>
        <w:rPr>
          <w:sz w:val="24"/>
          <w:szCs w:val="24"/>
        </w:rPr>
      </w:r>
    </w:p>
    <w:p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-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з</w:t>
      </w:r>
      <w:r>
        <w:rPr>
          <w:rFonts w:ascii="Times New Roman" w:hAnsi="Times New Roman" w:cs="Times New Roman"/>
          <w:i/>
          <w:sz w:val="24"/>
          <w:szCs w:val="24"/>
        </w:rPr>
        <w:t xml:space="preserve">аявление о предоставлении субсидии</w:t>
      </w:r>
      <w:r>
        <w:rPr>
          <w:rFonts w:ascii="Times New Roman" w:hAnsi="Times New Roman" w:cs="Times New Roman"/>
          <w:i/>
          <w:sz w:val="24"/>
          <w:szCs w:val="24"/>
        </w:rPr>
        <w:t xml:space="preserve"> – 1 чел./часов;</w:t>
      </w:r>
      <w:r>
        <w:rPr>
          <w:rFonts w:ascii="Times New Roman" w:hAnsi="Times New Roman" w:cs="Times New Roman"/>
          <w:i/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- </w:t>
      </w:r>
      <w:r>
        <w:rPr>
          <w:rFonts w:ascii="Times New Roman" w:hAnsi="Times New Roman" w:cs="Times New Roman"/>
          <w:i/>
          <w:sz w:val="24"/>
          <w:szCs w:val="24"/>
        </w:rPr>
        <w:t xml:space="preserve">документы, являющиеся основанием для выплаты субсидий</w:t>
      </w:r>
      <w:r>
        <w:rPr>
          <w:rFonts w:ascii="Times New Roman" w:hAnsi="Times New Roman" w:cs="Times New Roman"/>
          <w:i/>
          <w:sz w:val="24"/>
          <w:szCs w:val="24"/>
        </w:rPr>
        <w:t xml:space="preserve"> (в том числе: д</w:t>
      </w:r>
      <w:r>
        <w:rPr>
          <w:rFonts w:ascii="Times New Roman" w:hAnsi="Times New Roman" w:cs="Times New Roman"/>
          <w:i/>
          <w:sz w:val="24"/>
          <w:szCs w:val="24"/>
        </w:rPr>
        <w:t xml:space="preserve">окументы об организации профе</w:t>
      </w:r>
      <w:r>
        <w:rPr>
          <w:rFonts w:ascii="Times New Roman" w:hAnsi="Times New Roman" w:cs="Times New Roman"/>
          <w:i/>
          <w:sz w:val="24"/>
          <w:szCs w:val="24"/>
        </w:rPr>
        <w:t xml:space="preserve">ссионального обучения</w:t>
      </w:r>
      <w:r>
        <w:rPr>
          <w:rFonts w:ascii="Times New Roman" w:hAnsi="Times New Roman" w:cs="Times New Roman"/>
          <w:i/>
          <w:sz w:val="24"/>
          <w:szCs w:val="24"/>
        </w:rPr>
        <w:t xml:space="preserve">: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копия договора </w:t>
      </w:r>
      <w:r>
        <w:rPr>
          <w:rFonts w:ascii="Times New Roman" w:hAnsi="Times New Roman" w:cs="Times New Roman"/>
          <w:i/>
          <w:sz w:val="24"/>
          <w:szCs w:val="24"/>
        </w:rPr>
        <w:t xml:space="preserve">с образовательной организацией</w:t>
      </w:r>
      <w:r>
        <w:rPr>
          <w:rFonts w:ascii="Times New Roman" w:hAnsi="Times New Roman" w:cs="Times New Roman"/>
          <w:i/>
          <w:sz w:val="24"/>
          <w:szCs w:val="24"/>
        </w:rPr>
        <w:t xml:space="preserve">;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копия приказа работодателя о направлении на обучение работников</w:t>
      </w:r>
      <w:r>
        <w:rPr>
          <w:rFonts w:ascii="Times New Roman" w:hAnsi="Times New Roman" w:cs="Times New Roman"/>
          <w:i/>
          <w:sz w:val="24"/>
          <w:szCs w:val="24"/>
        </w:rPr>
        <w:t xml:space="preserve"> и граждан, с которыми заключен ученический договор</w:t>
      </w:r>
      <w:r>
        <w:rPr>
          <w:rFonts w:ascii="Times New Roman" w:hAnsi="Times New Roman" w:cs="Times New Roman"/>
          <w:i/>
          <w:sz w:val="24"/>
          <w:szCs w:val="24"/>
        </w:rPr>
        <w:t xml:space="preserve">;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план-график профессионального обучения</w:t>
      </w:r>
      <w:r>
        <w:rPr>
          <w:rFonts w:ascii="Times New Roman" w:hAnsi="Times New Roman" w:cs="Times New Roman"/>
          <w:i/>
          <w:sz w:val="24"/>
          <w:szCs w:val="24"/>
        </w:rPr>
        <w:t xml:space="preserve">; о</w:t>
      </w:r>
      <w:r>
        <w:rPr>
          <w:rFonts w:ascii="Times New Roman" w:hAnsi="Times New Roman" w:cs="Times New Roman"/>
          <w:i/>
          <w:sz w:val="24"/>
          <w:szCs w:val="24"/>
        </w:rPr>
        <w:t xml:space="preserve">тчет о расходах работодателя</w:t>
      </w:r>
      <w:r>
        <w:rPr>
          <w:rFonts w:ascii="Times New Roman" w:hAnsi="Times New Roman" w:cs="Times New Roman"/>
          <w:i/>
          <w:sz w:val="24"/>
          <w:szCs w:val="24"/>
        </w:rPr>
        <w:t xml:space="preserve">; а</w:t>
      </w:r>
      <w:r>
        <w:rPr>
          <w:rFonts w:ascii="Times New Roman" w:hAnsi="Times New Roman" w:cs="Times New Roman"/>
          <w:i/>
          <w:sz w:val="24"/>
          <w:szCs w:val="24"/>
        </w:rPr>
        <w:t xml:space="preserve">кт о выполнении обязательств по договору о предоставлении субсидии</w:t>
      </w:r>
      <w:r>
        <w:rPr>
          <w:rFonts w:ascii="Times New Roman" w:hAnsi="Times New Roman" w:cs="Times New Roman"/>
          <w:i/>
          <w:sz w:val="24"/>
          <w:szCs w:val="24"/>
        </w:rPr>
        <w:t xml:space="preserve"> и приложения к нему: </w:t>
      </w:r>
      <w:r>
        <w:rPr>
          <w:rFonts w:ascii="Times New Roman" w:hAnsi="Times New Roman" w:cs="Times New Roman"/>
          <w:i/>
          <w:sz w:val="24"/>
          <w:szCs w:val="24"/>
        </w:rPr>
        <w:t xml:space="preserve">приказ образовательной организации о за</w:t>
      </w:r>
      <w:r>
        <w:rPr>
          <w:rFonts w:ascii="Times New Roman" w:hAnsi="Times New Roman" w:cs="Times New Roman"/>
          <w:i/>
          <w:sz w:val="24"/>
          <w:szCs w:val="24"/>
        </w:rPr>
        <w:t xml:space="preserve">числение н</w:t>
      </w:r>
      <w:r>
        <w:rPr>
          <w:rFonts w:ascii="Times New Roman" w:hAnsi="Times New Roman" w:cs="Times New Roman"/>
          <w:i/>
          <w:sz w:val="24"/>
          <w:szCs w:val="24"/>
        </w:rPr>
        <w:t xml:space="preserve">а обучение;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табеля посещаемости учебных занятий;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с</w:t>
      </w:r>
      <w:r>
        <w:rPr>
          <w:rFonts w:ascii="Times New Roman" w:hAnsi="Times New Roman" w:cs="Times New Roman"/>
          <w:i/>
          <w:sz w:val="24"/>
          <w:szCs w:val="24"/>
        </w:rPr>
        <w:t xml:space="preserve">правки (табеля) об успеваемости, д</w:t>
      </w:r>
      <w:r>
        <w:rPr>
          <w:rFonts w:ascii="Times New Roman" w:hAnsi="Times New Roman" w:cs="Times New Roman"/>
          <w:i/>
          <w:sz w:val="24"/>
          <w:szCs w:val="24"/>
        </w:rPr>
        <w:t xml:space="preserve">окументы об образовании/квалификации</w:t>
      </w:r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sz w:val="24"/>
          <w:szCs w:val="24"/>
        </w:rPr>
        <w:t xml:space="preserve">финансовые документы, подтверждающие понесенные затраты</w:t>
      </w:r>
      <w:r>
        <w:rPr>
          <w:rFonts w:ascii="Times New Roman" w:hAnsi="Times New Roman" w:cs="Times New Roman"/>
          <w:i/>
          <w:sz w:val="24"/>
          <w:szCs w:val="24"/>
        </w:rPr>
        <w:t xml:space="preserve">,</w:t>
      </w:r>
      <w:r>
        <w:rPr>
          <w:rFonts w:ascii="Times New Roman" w:hAnsi="Times New Roman" w:cs="Times New Roman"/>
          <w:i/>
          <w:sz w:val="24"/>
          <w:szCs w:val="24"/>
        </w:rPr>
        <w:t xml:space="preserve"> справки о занятости работников </w:t>
      </w:r>
      <w:r>
        <w:rPr>
          <w:rFonts w:ascii="Times New Roman" w:hAnsi="Times New Roman" w:cs="Times New Roman"/>
          <w:i/>
          <w:sz w:val="24"/>
          <w:szCs w:val="24"/>
        </w:rPr>
        <w:t xml:space="preserve">и граждан, заключивших </w:t>
      </w:r>
      <w:r>
        <w:rPr>
          <w:rFonts w:ascii="Times New Roman" w:hAnsi="Times New Roman" w:cs="Times New Roman"/>
          <w:i/>
          <w:sz w:val="24"/>
          <w:szCs w:val="24"/>
        </w:rPr>
        <w:t xml:space="preserve">ученический договор</w:t>
      </w:r>
      <w:r>
        <w:rPr>
          <w:rFonts w:ascii="Times New Roman" w:hAnsi="Times New Roman" w:cs="Times New Roman"/>
          <w:i/>
          <w:sz w:val="24"/>
          <w:szCs w:val="24"/>
        </w:rPr>
        <w:t xml:space="preserve">;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сметы затрат (калькуляций) учебного заведения на оказание услуг по профессиональному обучению и (или) дополнительному профессиональному образованию</w:t>
      </w:r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sz w:val="24"/>
          <w:szCs w:val="24"/>
        </w:rPr>
        <w:t xml:space="preserve">копия акта приемки оказанных услуг (акта выполненных работ) между образовательной организацией и работодате</w:t>
      </w:r>
      <w:r>
        <w:rPr>
          <w:rFonts w:ascii="Times New Roman" w:hAnsi="Times New Roman" w:cs="Times New Roman"/>
          <w:i/>
          <w:sz w:val="24"/>
          <w:szCs w:val="24"/>
        </w:rPr>
        <w:t xml:space="preserve">лем, </w:t>
      </w:r>
      <w:r>
        <w:rPr>
          <w:rFonts w:ascii="Times New Roman" w:hAnsi="Times New Roman" w:cs="Times New Roman"/>
          <w:i/>
          <w:sz w:val="24"/>
          <w:szCs w:val="24"/>
        </w:rPr>
        <w:t xml:space="preserve">копия приказа об отчислении</w:t>
      </w:r>
      <w:r>
        <w:rPr>
          <w:rFonts w:ascii="Times New Roman" w:hAnsi="Times New Roman" w:cs="Times New Roman"/>
          <w:i/>
          <w:sz w:val="24"/>
          <w:szCs w:val="24"/>
        </w:rPr>
        <w:t xml:space="preserve">)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– </w:t>
      </w:r>
      <w:r>
        <w:rPr>
          <w:rFonts w:ascii="Times New Roman" w:hAnsi="Times New Roman" w:cs="Times New Roman"/>
          <w:i/>
          <w:sz w:val="24"/>
          <w:szCs w:val="24"/>
        </w:rPr>
        <w:t xml:space="preserve">5 </w:t>
      </w:r>
      <w:r>
        <w:rPr>
          <w:rFonts w:ascii="Times New Roman" w:hAnsi="Times New Roman" w:cs="Times New Roman"/>
          <w:i/>
          <w:sz w:val="24"/>
          <w:szCs w:val="24"/>
        </w:rPr>
        <w:t xml:space="preserve">чел./часов;</w:t>
      </w:r>
      <w:r>
        <w:rPr>
          <w:rFonts w:ascii="Times New Roman" w:hAnsi="Times New Roman" w:cs="Times New Roman"/>
          <w:i/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i/>
          <w:color w:val="000000"/>
          <w:sz w:val="24"/>
          <w:szCs w:val="24"/>
          <w:highlight w:val="none"/>
          <w:shd w:val="clear" w:color="auto" w:fill="ffffff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Подача пакета документов в</w:t>
      </w:r>
      <w:r>
        <w:rPr>
          <w:rFonts w:ascii="Times New Roman" w:hAnsi="Times New Roman" w:cs="Times New Roman"/>
          <w:i/>
          <w:sz w:val="24"/>
          <w:szCs w:val="24"/>
        </w:rPr>
        <w:t xml:space="preserve"> центр занятости населения</w:t>
      </w:r>
      <w:r>
        <w:rPr>
          <w:rFonts w:ascii="Times New Roman" w:hAnsi="Times New Roman" w:cs="Times New Roman"/>
          <w:i/>
          <w:sz w:val="24"/>
          <w:szCs w:val="24"/>
        </w:rPr>
        <w:t xml:space="preserve"> – </w:t>
      </w:r>
      <w:r>
        <w:rPr>
          <w:rFonts w:ascii="Times New Roman" w:hAnsi="Times New Roman" w:cs="Times New Roman"/>
          <w:i/>
          <w:sz w:val="24"/>
          <w:szCs w:val="24"/>
        </w:rPr>
        <w:t xml:space="preserve">3</w:t>
      </w:r>
      <w:r>
        <w:rPr>
          <w:rFonts w:ascii="Times New Roman" w:hAnsi="Times New Roman" w:cs="Times New Roman"/>
          <w:i/>
          <w:sz w:val="24"/>
          <w:szCs w:val="24"/>
        </w:rPr>
        <w:t xml:space="preserve"> чел./часов.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r>
      <w:r>
        <w:rPr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highlight w:val="none"/>
        </w:rPr>
      </w:pPr>
      <w:r>
        <w:rPr>
          <w:rFonts w:ascii="Times New Roman" w:hAnsi="Times New Roman" w:cs="Times New Roman"/>
          <w:b/>
          <w:bCs/>
          <w:i w:val="0"/>
          <w:iCs w:val="0"/>
          <w:sz w:val="24"/>
          <w:szCs w:val="24"/>
          <w:highlight w:val="none"/>
        </w:rPr>
        <w:t xml:space="preserve">Итого трудозатрат: </w:t>
      </w:r>
      <w:r>
        <w:rPr>
          <w:rFonts w:ascii="Times New Roman" w:hAnsi="Times New Roman" w:cs="Times New Roman"/>
          <w:i/>
          <w:sz w:val="24"/>
          <w:szCs w:val="24"/>
        </w:rPr>
        <w:t xml:space="preserve">14 </w:t>
      </w:r>
      <w:r>
        <w:rPr>
          <w:rFonts w:ascii="Times New Roman" w:hAnsi="Times New Roman" w:cs="Times New Roman"/>
          <w:i/>
          <w:sz w:val="24"/>
          <w:szCs w:val="24"/>
        </w:rPr>
        <w:t xml:space="preserve">чел./часов.</w:t>
      </w:r>
      <w:r>
        <w:rPr>
          <w:rFonts w:ascii="Times New Roman" w:hAnsi="Times New Roman" w:cs="Times New Roman"/>
          <w:bCs/>
          <w:i/>
          <w:sz w:val="24"/>
          <w:szCs w:val="24"/>
          <w:highlight w:val="none"/>
        </w:rPr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r>
      <w:r>
        <w:rPr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Среднемесячная заработная плата по отрасли: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109052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рубл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ей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.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r>
      <w:r>
        <w:rPr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r>
      <w:r>
        <w:rPr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Средняя стоимость часа работы: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619,61 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рубл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ей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.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eastAsia="ru-RU"/>
        </w:rPr>
        <w:t xml:space="preserve">(109052 : 22 дн. : 8 час)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eastAsia="ru-RU"/>
        </w:rPr>
      </w:r>
      <w:r>
        <w:rPr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r>
      <w:r>
        <w:rPr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Общая стоимость требования: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bCs/>
          <w:i/>
          <w:sz w:val="24"/>
          <w:szCs w:val="24"/>
          <w:shd w:val="clear" w:color="auto" w:fill="ffffff"/>
        </w:rPr>
        <w:t xml:space="preserve">52047,24 </w:t>
      </w:r>
      <w:r>
        <w:rPr>
          <w:rFonts w:ascii="Times New Roman" w:hAnsi="Times New Roman" w:cs="Times New Roman"/>
          <w:b/>
          <w:bCs/>
          <w:i/>
          <w:sz w:val="24"/>
          <w:szCs w:val="24"/>
          <w:shd w:val="clear" w:color="auto" w:fill="ffffff"/>
        </w:rPr>
        <w:t xml:space="preserve">руб</w:t>
      </w:r>
      <w:r>
        <w:rPr>
          <w:rFonts w:ascii="Times New Roman" w:hAnsi="Times New Roman" w:cs="Times New Roman"/>
          <w:b/>
          <w:bCs/>
          <w:i/>
          <w:sz w:val="24"/>
          <w:szCs w:val="24"/>
          <w:shd w:val="clear" w:color="auto" w:fill="ffffff"/>
        </w:rPr>
        <w:t xml:space="preserve">.</w:t>
      </w: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(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619,61 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руб</w:t>
      </w: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. * </w:t>
      </w:r>
      <w:r>
        <w:rPr>
          <w:rFonts w:ascii="Times New Roman" w:hAnsi="Times New Roman" w:cs="Times New Roman"/>
          <w:i/>
          <w:sz w:val="24"/>
          <w:szCs w:val="24"/>
        </w:rPr>
        <w:t xml:space="preserve">14 </w:t>
      </w:r>
      <w:r>
        <w:rPr>
          <w:rFonts w:ascii="Times New Roman" w:hAnsi="Times New Roman" w:cs="Times New Roman"/>
          <w:i/>
          <w:sz w:val="24"/>
          <w:szCs w:val="24"/>
        </w:rPr>
        <w:t xml:space="preserve">чел./час</w:t>
      </w: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. * 6 ед.)</w:t>
      </w:r>
      <w:r>
        <w:rPr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sectPr>
      <w:footnotePr/>
      <w:endnotePr/>
      <w:type w:val="nextPage"/>
      <w:pgSz w:w="11906" w:h="16838" w:orient="portrait"/>
      <w:pgMar w:top="426" w:right="707" w:bottom="567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34">
    <w:name w:val="Heading 1"/>
    <w:basedOn w:val="810"/>
    <w:next w:val="810"/>
    <w:link w:val="63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35">
    <w:name w:val="Heading 1 Char"/>
    <w:basedOn w:val="811"/>
    <w:link w:val="634"/>
    <w:uiPriority w:val="9"/>
    <w:rPr>
      <w:rFonts w:ascii="Arial" w:hAnsi="Arial" w:eastAsia="Arial" w:cs="Arial"/>
      <w:sz w:val="40"/>
      <w:szCs w:val="40"/>
    </w:rPr>
  </w:style>
  <w:style w:type="paragraph" w:styleId="636">
    <w:name w:val="Heading 2"/>
    <w:basedOn w:val="810"/>
    <w:next w:val="810"/>
    <w:link w:val="63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37">
    <w:name w:val="Heading 2 Char"/>
    <w:basedOn w:val="811"/>
    <w:link w:val="636"/>
    <w:uiPriority w:val="9"/>
    <w:rPr>
      <w:rFonts w:ascii="Arial" w:hAnsi="Arial" w:eastAsia="Arial" w:cs="Arial"/>
      <w:sz w:val="34"/>
    </w:rPr>
  </w:style>
  <w:style w:type="paragraph" w:styleId="638">
    <w:name w:val="Heading 3"/>
    <w:basedOn w:val="810"/>
    <w:next w:val="810"/>
    <w:link w:val="63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39">
    <w:name w:val="Heading 3 Char"/>
    <w:basedOn w:val="811"/>
    <w:link w:val="638"/>
    <w:uiPriority w:val="9"/>
    <w:rPr>
      <w:rFonts w:ascii="Arial" w:hAnsi="Arial" w:eastAsia="Arial" w:cs="Arial"/>
      <w:sz w:val="30"/>
      <w:szCs w:val="30"/>
    </w:rPr>
  </w:style>
  <w:style w:type="paragraph" w:styleId="640">
    <w:name w:val="Heading 4"/>
    <w:basedOn w:val="810"/>
    <w:next w:val="810"/>
    <w:link w:val="64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41">
    <w:name w:val="Heading 4 Char"/>
    <w:basedOn w:val="811"/>
    <w:link w:val="640"/>
    <w:uiPriority w:val="9"/>
    <w:rPr>
      <w:rFonts w:ascii="Arial" w:hAnsi="Arial" w:eastAsia="Arial" w:cs="Arial"/>
      <w:b/>
      <w:bCs/>
      <w:sz w:val="26"/>
      <w:szCs w:val="26"/>
    </w:rPr>
  </w:style>
  <w:style w:type="paragraph" w:styleId="642">
    <w:name w:val="Heading 5"/>
    <w:basedOn w:val="810"/>
    <w:next w:val="810"/>
    <w:link w:val="64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43">
    <w:name w:val="Heading 5 Char"/>
    <w:basedOn w:val="811"/>
    <w:link w:val="642"/>
    <w:uiPriority w:val="9"/>
    <w:rPr>
      <w:rFonts w:ascii="Arial" w:hAnsi="Arial" w:eastAsia="Arial" w:cs="Arial"/>
      <w:b/>
      <w:bCs/>
      <w:sz w:val="24"/>
      <w:szCs w:val="24"/>
    </w:rPr>
  </w:style>
  <w:style w:type="paragraph" w:styleId="644">
    <w:name w:val="Heading 6"/>
    <w:basedOn w:val="810"/>
    <w:next w:val="810"/>
    <w:link w:val="64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45">
    <w:name w:val="Heading 6 Char"/>
    <w:basedOn w:val="811"/>
    <w:link w:val="644"/>
    <w:uiPriority w:val="9"/>
    <w:rPr>
      <w:rFonts w:ascii="Arial" w:hAnsi="Arial" w:eastAsia="Arial" w:cs="Arial"/>
      <w:b/>
      <w:bCs/>
      <w:sz w:val="22"/>
      <w:szCs w:val="22"/>
    </w:rPr>
  </w:style>
  <w:style w:type="paragraph" w:styleId="646">
    <w:name w:val="Heading 7"/>
    <w:basedOn w:val="810"/>
    <w:next w:val="810"/>
    <w:link w:val="64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47">
    <w:name w:val="Heading 7 Char"/>
    <w:basedOn w:val="811"/>
    <w:link w:val="64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48">
    <w:name w:val="Heading 8"/>
    <w:basedOn w:val="810"/>
    <w:next w:val="810"/>
    <w:link w:val="64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49">
    <w:name w:val="Heading 8 Char"/>
    <w:basedOn w:val="811"/>
    <w:link w:val="648"/>
    <w:uiPriority w:val="9"/>
    <w:rPr>
      <w:rFonts w:ascii="Arial" w:hAnsi="Arial" w:eastAsia="Arial" w:cs="Arial"/>
      <w:i/>
      <w:iCs/>
      <w:sz w:val="22"/>
      <w:szCs w:val="22"/>
    </w:rPr>
  </w:style>
  <w:style w:type="paragraph" w:styleId="650">
    <w:name w:val="Heading 9"/>
    <w:basedOn w:val="810"/>
    <w:next w:val="810"/>
    <w:link w:val="65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51">
    <w:name w:val="Heading 9 Char"/>
    <w:basedOn w:val="811"/>
    <w:link w:val="650"/>
    <w:uiPriority w:val="9"/>
    <w:rPr>
      <w:rFonts w:ascii="Arial" w:hAnsi="Arial" w:eastAsia="Arial" w:cs="Arial"/>
      <w:i/>
      <w:iCs/>
      <w:sz w:val="21"/>
      <w:szCs w:val="21"/>
    </w:rPr>
  </w:style>
  <w:style w:type="paragraph" w:styleId="652">
    <w:name w:val="No Spacing"/>
    <w:uiPriority w:val="1"/>
    <w:qFormat/>
    <w:pPr>
      <w:spacing w:before="0" w:after="0" w:line="240" w:lineRule="auto"/>
    </w:pPr>
  </w:style>
  <w:style w:type="paragraph" w:styleId="653">
    <w:name w:val="Title"/>
    <w:basedOn w:val="810"/>
    <w:next w:val="810"/>
    <w:link w:val="65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54">
    <w:name w:val="Title Char"/>
    <w:basedOn w:val="811"/>
    <w:link w:val="653"/>
    <w:uiPriority w:val="10"/>
    <w:rPr>
      <w:sz w:val="48"/>
      <w:szCs w:val="48"/>
    </w:rPr>
  </w:style>
  <w:style w:type="paragraph" w:styleId="655">
    <w:name w:val="Subtitle"/>
    <w:basedOn w:val="810"/>
    <w:next w:val="810"/>
    <w:link w:val="656"/>
    <w:uiPriority w:val="11"/>
    <w:qFormat/>
    <w:pPr>
      <w:spacing w:before="200" w:after="200"/>
    </w:pPr>
    <w:rPr>
      <w:sz w:val="24"/>
      <w:szCs w:val="24"/>
    </w:rPr>
  </w:style>
  <w:style w:type="character" w:styleId="656">
    <w:name w:val="Subtitle Char"/>
    <w:basedOn w:val="811"/>
    <w:link w:val="655"/>
    <w:uiPriority w:val="11"/>
    <w:rPr>
      <w:sz w:val="24"/>
      <w:szCs w:val="24"/>
    </w:rPr>
  </w:style>
  <w:style w:type="paragraph" w:styleId="657">
    <w:name w:val="Quote"/>
    <w:basedOn w:val="810"/>
    <w:next w:val="810"/>
    <w:link w:val="658"/>
    <w:uiPriority w:val="29"/>
    <w:qFormat/>
    <w:pPr>
      <w:ind w:left="720" w:right="720"/>
    </w:pPr>
    <w:rPr>
      <w:i/>
    </w:rPr>
  </w:style>
  <w:style w:type="character" w:styleId="658">
    <w:name w:val="Quote Char"/>
    <w:link w:val="657"/>
    <w:uiPriority w:val="29"/>
    <w:rPr>
      <w:i/>
    </w:rPr>
  </w:style>
  <w:style w:type="paragraph" w:styleId="659">
    <w:name w:val="Intense Quote"/>
    <w:basedOn w:val="810"/>
    <w:next w:val="810"/>
    <w:link w:val="66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60">
    <w:name w:val="Intense Quote Char"/>
    <w:link w:val="659"/>
    <w:uiPriority w:val="30"/>
    <w:rPr>
      <w:i/>
    </w:rPr>
  </w:style>
  <w:style w:type="character" w:styleId="661">
    <w:name w:val="Header Char"/>
    <w:basedOn w:val="811"/>
    <w:link w:val="817"/>
    <w:uiPriority w:val="99"/>
  </w:style>
  <w:style w:type="paragraph" w:styleId="662">
    <w:name w:val="Footer"/>
    <w:basedOn w:val="810"/>
    <w:link w:val="66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3">
    <w:name w:val="Footer Char"/>
    <w:basedOn w:val="811"/>
    <w:link w:val="662"/>
    <w:uiPriority w:val="99"/>
  </w:style>
  <w:style w:type="paragraph" w:styleId="664">
    <w:name w:val="Caption"/>
    <w:basedOn w:val="810"/>
    <w:next w:val="81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65">
    <w:name w:val="Caption Char"/>
    <w:basedOn w:val="664"/>
    <w:link w:val="662"/>
    <w:uiPriority w:val="99"/>
  </w:style>
  <w:style w:type="table" w:styleId="666">
    <w:name w:val="Table Grid"/>
    <w:basedOn w:val="81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7">
    <w:name w:val="Table Grid Light"/>
    <w:basedOn w:val="81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8">
    <w:name w:val="Plain Table 1"/>
    <w:basedOn w:val="81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69">
    <w:name w:val="Plain Table 2"/>
    <w:basedOn w:val="81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0">
    <w:name w:val="Plain Table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1">
    <w:name w:val="Plain Table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2">
    <w:name w:val="Plain Table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73">
    <w:name w:val="Grid Table 1 Light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4">
    <w:name w:val="Grid Table 1 Light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5">
    <w:name w:val="Grid Table 1 Light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6">
    <w:name w:val="Grid Table 1 Light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7">
    <w:name w:val="Grid Table 1 Light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Grid Table 1 Light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9">
    <w:name w:val="Grid Table 1 Light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1">
    <w:name w:val="Grid Table 2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2">
    <w:name w:val="Grid Table 2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3">
    <w:name w:val="Grid Table 2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4">
    <w:name w:val="Grid Table 2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5">
    <w:name w:val="Grid Table 2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6">
    <w:name w:val="Grid Table 2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7">
    <w:name w:val="Grid Table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>
    <w:name w:val="Grid Table 3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3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3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3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3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3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4"/>
    <w:basedOn w:val="8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95">
    <w:name w:val="Grid Table 4 - Accent 1"/>
    <w:basedOn w:val="8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696">
    <w:name w:val="Grid Table 4 - Accent 2"/>
    <w:basedOn w:val="8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697">
    <w:name w:val="Grid Table 4 - Accent 3"/>
    <w:basedOn w:val="8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698">
    <w:name w:val="Grid Table 4 - Accent 4"/>
    <w:basedOn w:val="8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699">
    <w:name w:val="Grid Table 4 - Accent 5"/>
    <w:basedOn w:val="8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00">
    <w:name w:val="Grid Table 4 - Accent 6"/>
    <w:basedOn w:val="8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01">
    <w:name w:val="Grid Table 5 Dark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02">
    <w:name w:val="Grid Table 5 Dark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03">
    <w:name w:val="Grid Table 5 Dark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04">
    <w:name w:val="Grid Table 5 Dark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05">
    <w:name w:val="Grid Table 5 Dark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06">
    <w:name w:val="Grid Table 5 Dark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07">
    <w:name w:val="Grid Table 5 Dark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08">
    <w:name w:val="Grid Table 6 Colorful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09">
    <w:name w:val="Grid Table 6 Colorful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0">
    <w:name w:val="Grid Table 6 Colorful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1">
    <w:name w:val="Grid Table 6 Colorful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2">
    <w:name w:val="Grid Table 6 Colorful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3">
    <w:name w:val="Grid Table 6 Colorful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4">
    <w:name w:val="Grid Table 6 Colorful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5">
    <w:name w:val="Grid Table 7 Colorful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7 Colorful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7 Colorful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7 Colorful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7 Colorful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7 Colorful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7 Colorful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List Table 1 Light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List Table 1 Light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List Table 1 Light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List Table 1 Light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List Table 1 Light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List Table 1 Light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List Table 1 Light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List Table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30">
    <w:name w:val="List Table 2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31">
    <w:name w:val="List Table 2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32">
    <w:name w:val="List Table 2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33">
    <w:name w:val="List Table 2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34">
    <w:name w:val="List Table 2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35">
    <w:name w:val="List Table 2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36">
    <w:name w:val="List Table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List Table 3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List Table 3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List Table 3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List Table 3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List Table 3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3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4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4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4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4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4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5 Dark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1">
    <w:name w:val="List Table 5 Dark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2">
    <w:name w:val="List Table 5 Dark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3">
    <w:name w:val="List Table 5 Dark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4">
    <w:name w:val="List Table 5 Dark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5">
    <w:name w:val="List Table 5 Dark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6">
    <w:name w:val="List Table 5 Dark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6 Colorful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58">
    <w:name w:val="List Table 6 Colorful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59">
    <w:name w:val="List Table 6 Colorful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60">
    <w:name w:val="List Table 6 Colorful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61">
    <w:name w:val="List Table 6 Colorful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62">
    <w:name w:val="List Table 6 Colorful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63">
    <w:name w:val="List Table 6 Colorful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64">
    <w:name w:val="List Table 7 Colorful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65">
    <w:name w:val="List Table 7 Colorful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66">
    <w:name w:val="List Table 7 Colorful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67">
    <w:name w:val="List Table 7 Colorful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68">
    <w:name w:val="List Table 7 Colorful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69">
    <w:name w:val="List Table 7 Colorful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70">
    <w:name w:val="List Table 7 Colorful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71">
    <w:name w:val="Lined - Accent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2">
    <w:name w:val="Lined - Accent 1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73">
    <w:name w:val="Lined - Accent 2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74">
    <w:name w:val="Lined - Accent 3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75">
    <w:name w:val="Lined - Accent 4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76">
    <w:name w:val="Lined - Accent 5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77">
    <w:name w:val="Lined - Accent 6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78">
    <w:name w:val="Bordered &amp; Lined - Accent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9">
    <w:name w:val="Bordered &amp; Lined - Accent 1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80">
    <w:name w:val="Bordered &amp; Lined - Accent 2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81">
    <w:name w:val="Bordered &amp; Lined - Accent 3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82">
    <w:name w:val="Bordered &amp; Lined - Accent 4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83">
    <w:name w:val="Bordered &amp; Lined - Accent 5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84">
    <w:name w:val="Bordered &amp; Lined - Accent 6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85">
    <w:name w:val="Bordered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86">
    <w:name w:val="Bordered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87">
    <w:name w:val="Bordered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88">
    <w:name w:val="Bordered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89">
    <w:name w:val="Bordered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90">
    <w:name w:val="Bordered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91">
    <w:name w:val="Bordered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792">
    <w:name w:val="Hyperlink"/>
    <w:uiPriority w:val="99"/>
    <w:unhideWhenUsed/>
    <w:rPr>
      <w:color w:val="0000ff" w:themeColor="hyperlink"/>
      <w:u w:val="single"/>
    </w:rPr>
  </w:style>
  <w:style w:type="paragraph" w:styleId="793">
    <w:name w:val="footnote text"/>
    <w:basedOn w:val="810"/>
    <w:link w:val="794"/>
    <w:uiPriority w:val="99"/>
    <w:semiHidden/>
    <w:unhideWhenUsed/>
    <w:pPr>
      <w:spacing w:after="40" w:line="240" w:lineRule="auto"/>
    </w:pPr>
    <w:rPr>
      <w:sz w:val="18"/>
    </w:rPr>
  </w:style>
  <w:style w:type="character" w:styleId="794">
    <w:name w:val="Footnote Text Char"/>
    <w:link w:val="793"/>
    <w:uiPriority w:val="99"/>
    <w:rPr>
      <w:sz w:val="18"/>
    </w:rPr>
  </w:style>
  <w:style w:type="character" w:styleId="795">
    <w:name w:val="footnote reference"/>
    <w:basedOn w:val="811"/>
    <w:uiPriority w:val="99"/>
    <w:unhideWhenUsed/>
    <w:rPr>
      <w:vertAlign w:val="superscript"/>
    </w:rPr>
  </w:style>
  <w:style w:type="paragraph" w:styleId="796">
    <w:name w:val="endnote text"/>
    <w:basedOn w:val="810"/>
    <w:link w:val="797"/>
    <w:uiPriority w:val="99"/>
    <w:semiHidden/>
    <w:unhideWhenUsed/>
    <w:pPr>
      <w:spacing w:after="0" w:line="240" w:lineRule="auto"/>
    </w:pPr>
    <w:rPr>
      <w:sz w:val="20"/>
    </w:rPr>
  </w:style>
  <w:style w:type="character" w:styleId="797">
    <w:name w:val="Endnote Text Char"/>
    <w:link w:val="796"/>
    <w:uiPriority w:val="99"/>
    <w:rPr>
      <w:sz w:val="20"/>
    </w:rPr>
  </w:style>
  <w:style w:type="character" w:styleId="798">
    <w:name w:val="endnote reference"/>
    <w:basedOn w:val="811"/>
    <w:uiPriority w:val="99"/>
    <w:semiHidden/>
    <w:unhideWhenUsed/>
    <w:rPr>
      <w:vertAlign w:val="superscript"/>
    </w:rPr>
  </w:style>
  <w:style w:type="paragraph" w:styleId="799">
    <w:name w:val="toc 1"/>
    <w:basedOn w:val="810"/>
    <w:next w:val="810"/>
    <w:uiPriority w:val="39"/>
    <w:unhideWhenUsed/>
    <w:pPr>
      <w:ind w:left="0" w:right="0" w:firstLine="0"/>
      <w:spacing w:after="57"/>
    </w:pPr>
  </w:style>
  <w:style w:type="paragraph" w:styleId="800">
    <w:name w:val="toc 2"/>
    <w:basedOn w:val="810"/>
    <w:next w:val="810"/>
    <w:uiPriority w:val="39"/>
    <w:unhideWhenUsed/>
    <w:pPr>
      <w:ind w:left="283" w:right="0" w:firstLine="0"/>
      <w:spacing w:after="57"/>
    </w:pPr>
  </w:style>
  <w:style w:type="paragraph" w:styleId="801">
    <w:name w:val="toc 3"/>
    <w:basedOn w:val="810"/>
    <w:next w:val="810"/>
    <w:uiPriority w:val="39"/>
    <w:unhideWhenUsed/>
    <w:pPr>
      <w:ind w:left="567" w:right="0" w:firstLine="0"/>
      <w:spacing w:after="57"/>
    </w:pPr>
  </w:style>
  <w:style w:type="paragraph" w:styleId="802">
    <w:name w:val="toc 4"/>
    <w:basedOn w:val="810"/>
    <w:next w:val="810"/>
    <w:uiPriority w:val="39"/>
    <w:unhideWhenUsed/>
    <w:pPr>
      <w:ind w:left="850" w:right="0" w:firstLine="0"/>
      <w:spacing w:after="57"/>
    </w:pPr>
  </w:style>
  <w:style w:type="paragraph" w:styleId="803">
    <w:name w:val="toc 5"/>
    <w:basedOn w:val="810"/>
    <w:next w:val="810"/>
    <w:uiPriority w:val="39"/>
    <w:unhideWhenUsed/>
    <w:pPr>
      <w:ind w:left="1134" w:right="0" w:firstLine="0"/>
      <w:spacing w:after="57"/>
    </w:pPr>
  </w:style>
  <w:style w:type="paragraph" w:styleId="804">
    <w:name w:val="toc 6"/>
    <w:basedOn w:val="810"/>
    <w:next w:val="810"/>
    <w:uiPriority w:val="39"/>
    <w:unhideWhenUsed/>
    <w:pPr>
      <w:ind w:left="1417" w:right="0" w:firstLine="0"/>
      <w:spacing w:after="57"/>
    </w:pPr>
  </w:style>
  <w:style w:type="paragraph" w:styleId="805">
    <w:name w:val="toc 7"/>
    <w:basedOn w:val="810"/>
    <w:next w:val="810"/>
    <w:uiPriority w:val="39"/>
    <w:unhideWhenUsed/>
    <w:pPr>
      <w:ind w:left="1701" w:right="0" w:firstLine="0"/>
      <w:spacing w:after="57"/>
    </w:pPr>
  </w:style>
  <w:style w:type="paragraph" w:styleId="806">
    <w:name w:val="toc 8"/>
    <w:basedOn w:val="810"/>
    <w:next w:val="810"/>
    <w:uiPriority w:val="39"/>
    <w:unhideWhenUsed/>
    <w:pPr>
      <w:ind w:left="1984" w:right="0" w:firstLine="0"/>
      <w:spacing w:after="57"/>
    </w:pPr>
  </w:style>
  <w:style w:type="paragraph" w:styleId="807">
    <w:name w:val="toc 9"/>
    <w:basedOn w:val="810"/>
    <w:next w:val="810"/>
    <w:uiPriority w:val="39"/>
    <w:unhideWhenUsed/>
    <w:pPr>
      <w:ind w:left="2268" w:right="0" w:firstLine="0"/>
      <w:spacing w:after="57"/>
    </w:pPr>
  </w:style>
  <w:style w:type="paragraph" w:styleId="808">
    <w:name w:val="TOC Heading"/>
    <w:uiPriority w:val="39"/>
    <w:unhideWhenUsed/>
  </w:style>
  <w:style w:type="paragraph" w:styleId="809">
    <w:name w:val="table of figures"/>
    <w:basedOn w:val="810"/>
    <w:next w:val="810"/>
    <w:uiPriority w:val="99"/>
    <w:unhideWhenUsed/>
    <w:pPr>
      <w:spacing w:after="0" w:afterAutospacing="0"/>
    </w:pPr>
  </w:style>
  <w:style w:type="paragraph" w:styleId="810" w:default="1">
    <w:name w:val="Normal"/>
    <w:qFormat/>
  </w:style>
  <w:style w:type="character" w:styleId="811" w:default="1">
    <w:name w:val="Default Paragraph Font"/>
    <w:uiPriority w:val="1"/>
    <w:semiHidden/>
    <w:unhideWhenUsed/>
  </w:style>
  <w:style w:type="table" w:styleId="81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13" w:default="1">
    <w:name w:val="No List"/>
    <w:uiPriority w:val="99"/>
    <w:semiHidden/>
    <w:unhideWhenUsed/>
  </w:style>
  <w:style w:type="paragraph" w:styleId="814">
    <w:name w:val="List Paragraph"/>
    <w:basedOn w:val="810"/>
    <w:uiPriority w:val="34"/>
    <w:qFormat/>
    <w:pPr>
      <w:contextualSpacing/>
      <w:ind w:left="720"/>
    </w:pPr>
  </w:style>
  <w:style w:type="paragraph" w:styleId="815" w:customStyle="1">
    <w:name w:val="ConsPlusNormal"/>
    <w:link w:val="816"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character" w:styleId="816" w:customStyle="1">
    <w:name w:val="ConsPlusNormal Знак"/>
    <w:link w:val="815"/>
    <w:rPr>
      <w:rFonts w:ascii="Arial" w:hAnsi="Arial" w:eastAsia="Times New Roman" w:cs="Arial"/>
      <w:sz w:val="20"/>
      <w:szCs w:val="20"/>
      <w:lang w:eastAsia="ru-RU"/>
    </w:rPr>
  </w:style>
  <w:style w:type="paragraph" w:styleId="817">
    <w:name w:val="Header"/>
    <w:basedOn w:val="810"/>
    <w:link w:val="818"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18" w:customStyle="1">
    <w:name w:val="Верхний колонтитул Знак"/>
    <w:basedOn w:val="811"/>
    <w:link w:val="817"/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APK</dc:creator>
  <cp:revision>25</cp:revision>
  <dcterms:created xsi:type="dcterms:W3CDTF">2018-07-06T08:08:00Z</dcterms:created>
  <dcterms:modified xsi:type="dcterms:W3CDTF">2026-10-15T11:45:05Z</dcterms:modified>
</cp:coreProperties>
</file>