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pacing w:lineRule="auto" w:line="24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</w:p>
    <w:p>
      <w:pPr>
        <w:pStyle w:val="ConsPlusNormal"/>
        <w:spacing w:lineRule="auto" w:line="24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Правительства Белгородской области </w:t>
      </w:r>
    </w:p>
    <w:p>
      <w:pPr>
        <w:pStyle w:val="ConsPlusNormal"/>
        <w:spacing w:lineRule="auto" w:line="24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от 27 сентября 2021 года № 429-пп</w:t>
      </w:r>
      <w:bookmarkStart w:id="0" w:name="_GoBack"/>
      <w:bookmarkEnd w:id="0"/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приведения нормативных правовых актов Белгородской области в соответствие с действующим законодательством Правительство Белгородской области </w:t>
      </w:r>
      <w:r>
        <w:rPr>
          <w:rFonts w:cs="Times New Roman" w:ascii="Times New Roman" w:hAnsi="Times New Roman"/>
          <w:b/>
          <w:sz w:val="28"/>
          <w:szCs w:val="28"/>
        </w:rPr>
        <w:t>п о с т а н о в л я е т: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Внести следующие изменения в </w:t>
      </w:r>
      <w:hyperlink r:id="rId2" w:tgtFrame="consultantplus://offline/ref=7BC277F19013E956B5B209FDC9E6992E21CBA98277D529DF549E2AFF51D748F9d5fEG">
        <w:r>
          <w:rPr>
            <w:rFonts w:cs="Times New Roman" w:ascii="Times New Roman" w:hAnsi="Times New Roman"/>
            <w:sz w:val="28"/>
            <w:szCs w:val="28"/>
          </w:rPr>
          <w:t>постановление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Белгородской области от 27 сентября 2021 года № 429-пп «Об утверждении положения о региональном государственном жилищном надзоре на территории Белгородской области и признании утратившими силу некоторых постановлений Правительства Белгородской области»: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положение о региональном государственном жилищном надзоре на территории Белгородской области (далее –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</w:rPr>
        <w:t>Положение), утвержденное в пункте 1 названного постановления, изложить в редакции согласно приложению</w:t>
        <w:br/>
        <w:t xml:space="preserve">к настоящему постановлению;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возложить</w:t>
        <w:br/>
        <w:t>на управление государственного жилищного надзора Белгородской области (Бредихин М.И.).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653"/>
        <w:tblW w:w="964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09"/>
        <w:gridCol w:w="5535"/>
      </w:tblGrid>
      <w:tr>
        <w:trPr/>
        <w:tc>
          <w:tcPr>
            <w:tcW w:w="41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Губернатор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Белгородской области</w:t>
            </w:r>
          </w:p>
        </w:tc>
        <w:tc>
          <w:tcPr>
            <w:tcW w:w="5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В.В. Гладков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tbl>
      <w:tblPr>
        <w:tblW w:w="964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95"/>
        <w:gridCol w:w="4649"/>
      </w:tblGrid>
      <w:tr>
        <w:trPr>
          <w:trHeight w:val="607" w:hRule="atLeast"/>
        </w:trPr>
        <w:tc>
          <w:tcPr>
            <w:tcW w:w="4995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464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>к постановлению Правительства Белгородской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>от «___» ______________ 2022 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>_________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  <w:lang w:eastAsia="zh-C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zh-CN"/>
        </w:rPr>
      </w:r>
      <w:bookmarkStart w:id="1" w:name="P35"/>
      <w:bookmarkStart w:id="2" w:name="P35"/>
      <w:bookmarkEnd w:id="2"/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zh-CN"/>
        </w:rPr>
        <w:t>Положение</w:t>
      </w:r>
    </w:p>
    <w:p>
      <w:pPr>
        <w:pStyle w:val="ConsPlusNormal"/>
        <w:widowControl w:val="false"/>
        <w:spacing w:lineRule="auto" w:line="240" w:before="0" w:after="0"/>
        <w:ind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zh-CN"/>
        </w:rPr>
        <w:t xml:space="preserve">о региональном государственном жилищном надзоре </w:t>
        <w:br/>
        <w:t>на территории 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6"/>
          <w:highlight w:val="white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highlight w:val="white"/>
          <w:lang w:eastAsia="zh-CN"/>
        </w:rPr>
        <w:t>1. Общие положения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6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1.1. Настоящий документ устанавливает общие требования к организации и осуществлению регионального государственного жилищного контроля (надзора) на территории Белгородской области (далее - государственный жилищный надзор).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 xml:space="preserve">1.2. Государственный жилищный надзор осуществляется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управлением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 xml:space="preserve"> государственного жилищного надзора Белгородской области (далее —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УГЖН области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) в соответствии с положением, утвержденное постановлением Правительства Белгородской области.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1.3. Должностными лицами, уполномоченными на осуществление государственного жилищного надзора, являются: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начальник УГЖН области и его заместитель;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2) должностное лицо УГЖН области, к должностным обязанностям которого должностным регламентом отнесено осуществление полномочий по региональному государственному жилищному надзору, в том числе проведение профилактических мероприятий и контрольных (надзорных) мероприятий (далее - инспектор).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1.4. Должностными лицами, уполномоченными на принятие решений</w:t>
        <w:br/>
        <w:t>о проведении контрольных (надзорных) мероприятий, являются:  начальник УГЖН области и его заместитель.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1.5. Объектами государственного жилищного надзора являются деятельность, действия (бездействие), в рамках которых должны соблюдаться обязательные требования, установленные жилищным законодательством Российской Федерации, законодательством Российской Федерации</w:t>
        <w:br/>
        <w:t>об энергосбережении и о повышении энергетической эффективности</w:t>
        <w:br/>
        <w:t>в отношении жилищного фонда, за исключением муниципального жилищного фонда, граждан, юридических лиц, индивидуальных предпринимателей (далее соответственно - контролируемые лица, обязательные требования), в том числе: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товариществ собственников жилья;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жилищных и жилищно-строительных кооперативов;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ресурсоснабжающих организаций;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региональных операторов по обращению с твердыми коммунальными отходами;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юридических лиц, индивидуальных предпринимателей, оказывающих услуги и (или) выполняющих работы по содержанию и ремонту общего имущества в многоквартирных домах;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организаций, осуществляющих деятельность по техническому обслуживанию и ремонту внутридомового и (или) внутриквартирного газового оборудования;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организаций,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домах, в том числе их обслуживание и ремонт.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Объектом государственного жилищного надзора не является деятельность, действия (бездействие) юридических лиц независимо</w:t>
        <w:br/>
        <w:t>от организационно-правовой формы или индивидуальных предпринимателей, осуществляющих предпринимательскую деятельность по управлению многоквартирными домами на основании лицензии.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1.6. Учет объектов государственного жилищного надзора осуществляется с использованием государственной информационной системы жилищно-коммунального хозяйства (далее - система жилищно-коммунального хозяйства) посредством сбора, обработки, анализа и учета информации об объектах государственного жилищного надзора, размещаемой в системе жилищно-коммунального хозяйства в соответствии с требованиями, установленными статьей 7 Федерального закона «О государственной информационной системе жилищно-коммунального хозяйства», информации, получаемой в рамках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1.7. Предметом государственного жилищного надзора является соблюдение контролируемыми лицами обязательных требований: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</w:t>
        <w:br/>
        <w:t>в многоквартирных домах, порядку осуществления перевода жилого помещения в нежилое помещение и нежилого помещения в жилое</w:t>
        <w:br/>
        <w:t>в многоквартирном доме, порядку осуществления перепланировки и (или) переустройства помещений в многоквартирном доме;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требований к формированию фондов капитального ремонта;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требований к предоставлению коммунальных услуг собственникам</w:t>
        <w:br/>
        <w:t>и пользователям помещений в многоквартирных домах и жилых домов;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правил изменения размера платы за содержание жилого помещения</w:t>
        <w:br/>
        <w:t>в случае оказания услуг и выполнения работ по управлению, содержанию</w:t>
        <w:br/>
        <w:t>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правил содержания общего имущества в многоквартирном доме</w:t>
        <w:br/>
        <w:t>и правил изменения размера платы за содержание жилого помещения;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правил предоставления, приостановки и ограничения предоставления коммунальных услуг собственникам и пользователям помещений</w:t>
        <w:br/>
        <w:t>в многоквартирных домах и жилых домов;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требований к обеспечению доступности для инвалидов помещений</w:t>
        <w:br/>
        <w:t>в многоквартирных домах;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- требований к предоставлению жилых помещений в наемных домах социального использования.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1.8. Должностные лица, уполномоченные на осуществление государственного жилищного надзора, при осуществлении государственного жилищного надзора имеют права и выполняют обязанности, установленные статьей 29 Федерального закона «О государственном контроле (надзоре)</w:t>
        <w:br/>
        <w:t>и муниципальном контролем Российской Федерации».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1.9. Организация и осуществление государственного жилищного надзора регулируются Федеральным законом «О государственном контроле (надзоре)</w:t>
        <w:br/>
        <w:t>и муниципальном контроле в Российской Федерации».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</w:r>
    </w:p>
    <w:p>
      <w:pPr>
        <w:pStyle w:val="ConsPlusNormal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  <w:lang w:eastAsia="zh-CN"/>
        </w:rPr>
        <w:t>2. Управление рисками причинения вреда (ущерба)</w:t>
        <w:br/>
        <w:t>охраняемым законом ценностям при осуществлении</w:t>
        <w:br/>
      </w:r>
      <w:r>
        <w:rPr>
          <w:rFonts w:eastAsia="Times New Roman" w:cs="Times New Roman" w:ascii="Times New Roman" w:hAnsi="Times New Roman"/>
          <w:b/>
          <w:color w:val="000000"/>
          <w:kern w:val="0"/>
          <w:sz w:val="28"/>
          <w:szCs w:val="28"/>
          <w:highlight w:val="white"/>
          <w:lang w:val="ru-RU" w:eastAsia="zh-CN" w:bidi="ar-SA"/>
        </w:rPr>
        <w:t>государственного жилищного надзора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При осуществлении государственного жилищного надзора применяется система оценки и управления рисками причинения вреда (ущерба).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auto"/>
          <w:kern w:val="0"/>
          <w:sz w:val="28"/>
          <w:szCs w:val="28"/>
          <w:lang w:val="ru-RU" w:eastAsia="zh-CN" w:bidi="ar-SA"/>
        </w:rPr>
        <w:t>2.</w:t>
      </w:r>
      <w:r>
        <w:rPr>
          <w:rFonts w:ascii="Times New Roman" w:hAnsi="Times New Roman"/>
          <w:sz w:val="28"/>
          <w:szCs w:val="28"/>
        </w:rPr>
        <w:t>2. Орган государственного жилищного надзора при осуществлении государственного жилищного надзора относит объекты государственного жилищного надзора к одной из следующих категорий риска причинения вреда (ущерба):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высокий риск;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средний риск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умеренный риск;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низкий риск.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color w:val="000000"/>
          <w:sz w:val="28"/>
          <w:szCs w:val="28"/>
        </w:rPr>
        <w:t>Отнесение объектов государственного жилищного надзора</w:t>
        <w:br/>
        <w:t xml:space="preserve">к определенной категории риска причинения вреда (ущерба) осуществляется на основании сопоставления их характеристик с критериями отнесения объектов регионального государственного жилищного контроля (надзора) к категориям риска причинения вреда (ущерба) охраняемым законом ценностям согласно приложению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 Положению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2.4. В случае поступления в УГЖН области сведений о соответствии объекта контроля критериям риска иной категории риска либо об изменении критериев риска УГЖН области в течение 5 (пяти) рабочих дней со дня поступления указанных сведений принимает решение об изменении категории риска указанного объекта контроля.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2.5. Контролируемые лица вправе подать в УГЖН области заявление</w:t>
        <w:br/>
        <w:t>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2.6.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соответствующими решениями начальника УГЖН области либо лицом, его замещающим.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2.7. По запросу контролируемого лица УГЖН области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Плановые контрольные (надзорные) мероприятия в отношении объектов государственного жилищного надзора в зависимости от категории риска проводятся со следующей периодичностью: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для категории высокого риска одно из следующих контрольных (надзорных) мероприятий: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инспекционный визит - один раз в 2 года;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документарная проверка - один раз в 2 года;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выездная проверка - один раз в 2 года;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для категории среднего риска одно из следующих контрольных (надзорных) мероприятий: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инспекционный визит - один раз в 3 года;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документарная проверка - один раз в 3 года;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выездная проверка - один раз в 3 года;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для категории умеренного риска одно из следующих контрольных (надзорных) мероприятий: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документарная проверка - один раз в 3 года;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выездная проверка - один раз в 3 года.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В отношении объектов государственного жилищного надзора, которые отнесены к категории низкого риска, плановые контрольные (надзорные) мероприятия не проводятся.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3. Организация проведения профилактических мероприятий</w:t>
      </w:r>
    </w:p>
    <w:p>
      <w:pPr>
        <w:pStyle w:val="Style12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при осуществлении </w:t>
      </w:r>
      <w:r>
        <w:rPr>
          <w:rFonts w:eastAsia="Calibri" w:cs="Calibri" w:ascii="Times New Roman" w:hAnsi="Times New Roman"/>
          <w:b/>
          <w:color w:val="000000"/>
          <w:kern w:val="0"/>
          <w:sz w:val="28"/>
          <w:szCs w:val="28"/>
          <w:lang w:val="ru-RU" w:eastAsia="en-US" w:bidi="ar-SA"/>
        </w:rPr>
        <w:t xml:space="preserve">государственного жилищного </w:t>
      </w:r>
      <w:r>
        <w:rPr>
          <w:rFonts w:ascii="Times New Roman" w:hAnsi="Times New Roman"/>
          <w:b/>
          <w:color w:val="000000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 целях стимулирования добросовестного соблюдения обязательных требований контролируемыми лицами, устранения условий, причин</w:t>
        <w:br/>
        <w:t>и факторов, способных привести к нарушениям обязательных требований</w:t>
        <w:br/>
        <w:t>и (или) причинению вреда (ущерба) охраняемым законом ценностям, а также</w:t>
        <w:br/>
        <w:t>в целях создания условий для доведения обязательных требований</w:t>
        <w:br/>
        <w:t>до контролируемых лиц, повышения информированности о способах</w:t>
        <w:br/>
        <w:t>их соблюдения при осуществлении государственного жилищного надзора осуществляются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 рамках государственного жилищного надзора осуществляются следующие профилактические мероприятия: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информирование;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обобщение правоприменительной практики;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объявление предостережения;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консультирование;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профилактический визит.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Информирование осуществляется в соответствии со статьей 46 Федерального закона «О государственном контроле (надзоре) и муниципальном контроле в Российской Федерации»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sz w:val="28"/>
          <w:szCs w:val="28"/>
        </w:rPr>
        <w:t xml:space="preserve"> в сроки, установленные законодательством Российской Федерации, размещает и поддерживает в актуальном состоянии на своем официальном сайте в информационно-телекоммуникационной сети «Интернет» (далее - сеть «Интернет») сведения, предусмотренные частью 3 статьи 46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Обобщение правоприменительной практики осуществляется ежегодно должностными лицами УГЖН области путем сбора и анализа данных о проведенных контрольных (надзорных) мероприятиях и их результатах,</w:t>
        <w:br/>
        <w:t>а также анализа поступивших в адрес органа государственного жилищного надзора обращений.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обобщения правоприменительной практики органом государственного жилищного надзора готовится проект доклада, содержащего результаты обобщения правоприменительной практики УГЖН области (далее - доклад о правоприменительной практике), который в обязательном порядке проходит публичные обсуждения.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о правоприменительной практике утверждается приказом (распоряжением) руководителя </w:t>
      </w:r>
      <w:r>
        <w:rPr>
          <w:rFonts w:eastAsia="Calibri" w:cs="Calibri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sz w:val="28"/>
          <w:szCs w:val="28"/>
        </w:rPr>
        <w:t xml:space="preserve"> до 10 марта года, следующего за отчетным годом, и размещается на официальном сайте органа государственного жилищного надзора в сети «Интернет» до 15 марта года, следующего за отчетным годом.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Доклад о правоприменительной практике подлежит направлению УГЖН области в адрес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2 рабочих дней со дня его размещения на официальном сайте </w:t>
      </w:r>
      <w:r>
        <w:rPr>
          <w:rFonts w:eastAsia="Calibri" w:cs="Calibri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sz w:val="28"/>
          <w:szCs w:val="28"/>
        </w:rPr>
        <w:t xml:space="preserve"> в сети «Интернет».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Объявление предостережения осуществляется в соответствии</w:t>
        <w:br/>
        <w:t>со статьей 49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Контролируемое лицо не позднее 15 рабочих дней после получения предостережения о недопустимости нарушения обязательных требований вправе подать в </w:t>
      </w:r>
      <w:r>
        <w:rPr>
          <w:rFonts w:eastAsia="Calibri" w:cs="Calibri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УГЖН области</w:t>
      </w:r>
      <w:r>
        <w:rPr>
          <w:rFonts w:ascii="Times New Roman" w:hAnsi="Times New Roman"/>
          <w:sz w:val="28"/>
          <w:szCs w:val="28"/>
        </w:rPr>
        <w:t xml:space="preserve"> возражение в отношении указанного предостережения, в котором указываются: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юридического лица, фамилия, имя, отчество (при наличии) физического лица, фамилия, имя, отчество (при наличии) индивидуального предпринимателя;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идентификационный номер налогоплательщика - контролируемого лица;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и номер предостережения, направленного в адрес контролируемого лица;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обоснование позиции контролируемого лица в отношении указанных</w:t>
        <w:br/>
        <w:t>в предостережении его действий (бездействия), которые приводят или могут привести к нарушению обязательных требований.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Возражение в отношении предостережения о недопустимости нарушения обязательных требований может быть подано контролируемым лицом</w:t>
        <w:br/>
        <w:t>на бумажном носителе почтовым отправлением, в виде электронного документа на адрес электронной почты, указанный в предостережении</w:t>
        <w:br/>
        <w:t>о недопустимости нарушения обязательных требований, или иными указанными в таком предостережении способами.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 государственного жилищного надзора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удовлетворения возражения в отношении предостережения</w:t>
        <w:br/>
        <w:t>о недопустимости нарушения обязательных требований по итогам</w:t>
        <w:br/>
        <w:t>его рассмотрения данные такого предостережения не используются для проведения иных профилактических мероприятий и контрольных (надзорных) мероприятий.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Консультирование осуществляется в соответствии со статьей 50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Консультирование осуществляется по следующим вопросам: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организация и осуществление государственного жилищного надзора;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порядок проведения профилактических мероприятий;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предмет государственного жилищного надзора.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Письменное консультирование осуществляется по вопросу, предусмотренному подпунктом «в» пункта 3.8. настоящего документа, в случае поступления соответствующего обращения в письменной форме.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В случае поступления 5 и более обращений, содержащих однотипные вопросы, контролируемых лиц и (или) их представителей консультирование по таким вопросам осуществляется посредством размещения на официальном сайте органа государственного жилищного надзора в информационно-телекоммуникационной сети «Интернет»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должностным лицом органа государственного жилищного надзора.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Профилактический визит осуществляется в соответствии со статьей 52 Федерального закона «О государственном контроле (надзоре)</w:t>
        <w:br/>
        <w:t>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или</w:t>
        <w:br/>
        <w:t>с использованием видео-конференц-связи.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Обязательные профилактические визиты проводятся в отношении: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объектов государственного жилищного надзора, отнесенных к категории высокого риска;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контролируемых лиц, приступающих к осуществлению деятельности по управлению многоквартирными домами.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4. Организация проведения контрольных (надзорных)</w:t>
      </w:r>
    </w:p>
    <w:p>
      <w:pPr>
        <w:pStyle w:val="Style12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мероприятий при осуществлении </w:t>
      </w:r>
      <w:r>
        <w:rPr>
          <w:rFonts w:eastAsia="Calibri" w:cs="Calibri" w:ascii="Times New Roman" w:hAnsi="Times New Roman"/>
          <w:b/>
          <w:color w:val="000000"/>
          <w:kern w:val="0"/>
          <w:sz w:val="28"/>
          <w:szCs w:val="28"/>
          <w:lang w:val="ru-RU" w:eastAsia="en-US" w:bidi="ar-SA"/>
        </w:rPr>
        <w:t>государственного</w:t>
        <w:br/>
        <w:t>жилищного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контроля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4.1. При осуществлении государственного жилищного надзора проводятся следующие контрольные (надзорные) мероприятия: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а) предусматривающие взаимодействие с контролируемым лицом на плановой и внеплановой основе: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- инспекционный визит;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- документарная проверка;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- выездная проверка;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б) без взаимодействия с контролируемым лицом: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- наблюдение за соблюдением обязательных требований;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- выездное обследование.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4.2. При осуществлении государственного жилищного надзора в отношении действий (бездействия) гражданина плановые контрольные (надзорные) мероприятия, указанные в пункте 28 настоящего документа, не проводятся.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4.3.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4.4. В ходе инспекционного визита могут совершаться следующие контрольные (надзорные) действия: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а) осмотр;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б) опрос;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в) получение письменных объяснений;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4.5. В ходе документарной проверки могут совершаться следующие контрольные (надзорные) действия: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а) получение письменных объяснений;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б) истребование документов.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4.6. В ходе выездной проверки могут совершаться следующие контрольные (надзорные) действия: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а) осмотр;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б) опрос;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в) получение письменных объяснений;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г) инструментальное обследование;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д) экспертиза.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4.7.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4.8. Внеплановые контрольные (надзорные) мероприятия при осуществлении государственного жилищного надзора проводятся по основаниям, предусмотренным пунктами 1, 3 - 6 части 1 статьи 57 и частью 12 статьи 66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4.9. Индивидуальный предприниматель, гражданин, являющиеся контролируемыми лицами, вправе представить в контрольный (надзорный) орган информацию о невозможности присутствия при проведении контрольного (надзорного) мероприятия.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4.10. По результатам рассмотрения представленной информации органом государственного контроля принимается решение о переносе проведения контрольного (надзорного) мероприятия на срок, необходимый для устранения обстоятельств, послуживших поводом для представления индивидуальным предпринимателем, гражданином, информации о невозможности присутствия при проведении контрольного (надзорного) мероприятия.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4.11. При осуществлении наблюдения за соблюдением обязательных требований орган государственного жилищного надзора: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а)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б) изучает размещенную в системе жилищно-коммунального хозяйства информацию о деятельности контролируемых лиц.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4.12. При проведении выездной проверки или инспекционного визита должностные лица, уполномоченные на осуществление государственного жилищного надзора, для фиксации доказательств нарушений обязательных требований могут использовать фотосъемку, аудио- и видеозапись, иные способы фиксации доказательств.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(далее - акт).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Результаты проведения фотосъемки, аудио- и видеозаписи являются приложением к акту.</w:t>
      </w:r>
    </w:p>
    <w:p>
      <w:pPr>
        <w:pStyle w:val="Style1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 Оформление результатов контрольного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(надзорного)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5.1. Оформление результатов контрольного (надзорного) мероприятия осуществляется в соответствии со </w:t>
      </w:r>
      <w:hyperlink r:id="rId3">
        <w:r>
          <w:rPr>
            <w:rFonts w:ascii="Times New Roman" w:hAnsi="Times New Roman"/>
            <w:color w:val="000000"/>
            <w:sz w:val="28"/>
            <w:szCs w:val="28"/>
          </w:rPr>
          <w:t>статьей 87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</w:t>
        <w:br/>
        <w:t>«О государственном контроле (надзоре) и муниципальном контроле в Российской Федерации».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По окончании проведения контрольного (надзорного) мероприятия, предусматривающего взаимодействие с контролируемым лицом, составляется акт.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5.4. При отказе или невозможности подписания контролируемым лицом или его представителем акта в акте делается соответствующая отметка. В этом случае акт направляется контролируемому лицу в порядке, установленном </w:t>
      </w:r>
      <w:hyperlink r:id="rId4">
        <w:r>
          <w:rPr>
            <w:rFonts w:ascii="Times New Roman" w:hAnsi="Times New Roman"/>
            <w:color w:val="000000"/>
            <w:sz w:val="28"/>
            <w:szCs w:val="28"/>
          </w:rPr>
          <w:t>статьей 21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5.6. В случае выявления по результатам проведения контрольного (надзорного) мероприятия нарушения контролируемым лицом обязательных требований органом государственного жилищного надзора после оформление акта выдается предписание об устранении таких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5.7.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частью 2 статьи 88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6. Порядок обжалования решений контрольных (надзорных) органов,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действий (бездействия) их должностных лиц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 Контролируемые лица, права и законные интересы которых, по их мнению, были непосредственно нарушены в рамках осуществления государственного контроля, имеют право на досудебное обжалование: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решений о проведении контрольных (надзорных) мероприятий;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актов контрольных (надзорных) мероприятий, предписаний об устранении выявленных нарушений;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6.2. 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6.3. Жалоба подается контролируемым лицом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подаче жалобы гражданином жалоба должна быть подписана простой электронной подписью либо усиленной квалифицированной электронной подписью. При подаче жалобы организацией жалоба должна быть подписана усиленной квалифицированной электронной подписью.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6.4. В соответствии с порядком рассмотрения жалобы: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жалоба на решение УГЖН области, действия (бездействие) его должностных лиц рассматривается руководителем УГЖН области;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жалоба на действия (бездействие) руководителя контрольного (надзорного) органа рассматривается Администрацией Губернатора Белгородской области.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6.5. Жалоба на решение УГЖН области, действия (бездействие) его должностных лиц может быть подана в течение 30 (тридцати) календарных дней со дня, когда контролируемое лицо узнало или должно было узнать о нарушении своих прав.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6.6. Жалоба на предписание контрольного (надзорного) органа может быть подана в течение 10 (десяти) рабочих дней с момента получения контролируемым лицом предписания.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6.7. В случае пропуска по уважительной причине срока подачи жалобы этот срок по ходатайству лица, подающего жалобу, может быть восстановлен контрольным (надзорным) органом.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6.9. Жалоба должна содержать: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наименование УГЖН области, фамилию, имя, отчество (при наличии) должностного лица, решение и (или) действие (бездействие) которых обжалуются;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местонахождении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сведения об обжалуемых решении УГЖН области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основания и доводы, на основании которых заявитель не согласен с решением УГЖН области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требования лица, подавшего жалобу;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учетный номер контрольного (надзорного) мероприятия в едином реестре контрольных (надзорных) мероприятий, в отношении которого подается жалоба.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Жалоба не должна содержать нецензурные либо оскорбительные выражения, угрозы жизни, здоровью и имуществу должностных лиц УГЖН области либо членов их семей.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Жалоба может содержать ходатайство о приостановлении исполнения обжалуемого решения контрольного (надзорного) органа.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уполномоченным органом лицу, подавшему жалобу, в течение 1 (одного) рабочего дня с момента принятия решения по жалобе.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6.10. УГЖН области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6.11. УГЖН области в срок не позднее 2 (двух) рабочих дней со дня регистрации жалобы принимает решение: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о приостановлении исполнения обжалуемого решения контрольного (надзорного) органа;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об отказе в приостановлении исполнения обжалуемого решения контрольного (надзорного) органа.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о решении направляется лицу, подавшему жалобу, в течение 1 (одного) рабочего дня с момента принятия решения.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6.12. Жалоба подлежит рассмотрению УГЖН области в срок не более 20 (двадцати) рабочих дней со дня ее регистрации.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исключительных случаях, а также в случае направления запроса, предусмотренного пунктом 7.14 раздела 7 Положения, указанный срок может быть продлен, но не более чем на 20 (двадцать) рабочих дней.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6.13. УГЖН области при рассмотрении жалобы использует информационную систему досудебного обжалования контрольной (надзорной) деятельности.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6.14. УГЖН области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(пяти)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(пять)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6.15. По итогам рассмотрения жалобы УГЖН области принимает одно из следующих решений: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оставляет жалобу без удовлетворения;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отменяет решение контрольного (надзорного) органа полностью или частично;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отменяет решение контрольного (надзорного) органа полностью и принимает новое решение;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признает действия (бездействие) должностных лиц УГЖН области незаконными и выносит решение по существу, в том числе об осуществлении при необходимости определенных действий.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6.16. Решение УГЖН области, содержащее обоснование принятого решения, срок и порядок его исполнения, размещается в личном кабинете проверяемого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1 (одного) рабочего дня со дня его принятия.</w:t>
      </w:r>
      <w:r>
        <w:br w:type="page"/>
      </w:r>
    </w:p>
    <w:tbl>
      <w:tblPr>
        <w:tblW w:w="960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4"/>
        <w:gridCol w:w="5775"/>
      </w:tblGrid>
      <w:tr>
        <w:trPr>
          <w:trHeight w:val="607" w:hRule="atLeast"/>
        </w:trPr>
        <w:tc>
          <w:tcPr>
            <w:tcW w:w="3824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577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Положению о региональном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региональном государственном жилищном надзоре на территории</w:t>
              <w:br/>
              <w:t>Белгородской области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Критерии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отнесения объектов регионального государственного 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жилищного контроля (надзора) к категориям риска причинения</w:t>
        <w:br/>
        <w:t>вреда (ущерба) охраняемым законом ценностям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жилищного фонда, за исключением муниципального жилищного фонда, деятельность контролируемых лиц, подлежащая региональному государственному жилищному контролю (надзору) (далее - государственный жилищный надзор), разделяется на группу тяжести «А» или «Б» (далее - группы тяжести).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 группе тяжести «А»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В иных случаях деятельность контролируемых лиц относится к группе тяжести «Б».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С учетом оценки вероятности несоблюдения контролируемыми лицами обязательных требований, указанных в абзаце первом настоящего приложения, деятельность, подлежащая государственному жилищному надзору, разделяется на группу вероятности «1» или «2» (далее - группы вероятности).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статьями 7.21 - 7.23, частью 1 статьи 7.23.2, статьями 7.23.3, 9.5.1, статьей 9.13 (в части уклонения от исполнения требований к обеспечению доступности для инвалидов объектов жилищного фонда), частями 4, 5 и частью 12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частями 1 - 4 статьи 9.23, частью 1 статьи 13.19.2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 группе вероятности «2» относится деятельность контролируемых лиц, у которых в течение последних 3 лет при проведении планового или внепланового контрольного (надзорного) мероприятия не были выявлены нарушения обязательных требований, указанных в абзаце первом настоящего приложения.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>
      <w:pPr>
        <w:pStyle w:val="Style1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>
          <w:trHeight w:val="57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Категория риска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Группа тяжести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Группа вероятности</w:t>
            </w:r>
          </w:p>
        </w:tc>
      </w:tr>
      <w:tr>
        <w:trPr>
          <w:trHeight w:val="570" w:hRule="atLeast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Умеренный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>
      <w:pPr>
        <w:pStyle w:val="Style12"/>
        <w:spacing w:lineRule="auto" w:line="240" w:before="0" w:after="0"/>
        <w:jc w:val="center"/>
        <w:rPr>
          <w:b/>
          <w:b/>
          <w:color w:val="000000"/>
        </w:rPr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1701" w:right="567" w:gutter="0" w:header="567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Normal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Style5">
    <w:name w:val="Интернет-ссылка"/>
    <w:uiPriority w:val="99"/>
    <w:unhideWhenUsed/>
    <w:rPr>
      <w:color w:val="000080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uiPriority w:val="99"/>
    <w:qFormat/>
    <w:rPr>
      <w:rFonts w:ascii="Calibri" w:hAnsi="Calibri" w:eastAsia="Calibri" w:cs="Calibri"/>
    </w:rPr>
  </w:style>
  <w:style w:type="character" w:styleId="11" w:customStyle="1">
    <w:name w:val="Верхний колонтитул Знак1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ascii="Calibri" w:hAnsi="Calibri" w:eastAsia="Calibri" w:cs="Calibri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6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7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0">
    <w:name w:val="Index Heading"/>
    <w:basedOn w:val="Style11"/>
    <w:pPr/>
    <w:rPr/>
  </w:style>
  <w:style w:type="paragraph" w:styleId="Style21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5" w:customStyle="1">
    <w:name w:val="Îáû÷íûé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en-US" w:bidi="en-US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BC277F19013E956B5B209FDC9E6992E21CBA98277D529DF549E2AFF51D748F9d5fEG" TargetMode="External"/><Relationship Id="rId3" Type="http://schemas.openxmlformats.org/officeDocument/2006/relationships/hyperlink" Target="consultantplus://offline/ref=49F6F03ED05F4740996DEA8D6FCED686B329E9071EBA31A8F6445406B6C7E4878BE77720756056620E8E2FC0878DFC1600A140C5A91108D55DJ7M" TargetMode="External"/><Relationship Id="rId4" Type="http://schemas.openxmlformats.org/officeDocument/2006/relationships/hyperlink" Target="consultantplus://offline/ref=49F6F03ED05F4740996DEA8D6FCED686B329E9071EBA31A8F6445406B6C7E4878BE7772075605D680A8E2FC0878DFC1600A140C5A91108D55DJ7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4356DAC3-6EAC-469E-AC26-0D8E7A91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LibreOffice/7.3.2.2$Windows_X86_64 LibreOffice_project/49f2b1bff42cfccbd8f788c8dc32c1c309559be0</Application>
  <AppVersion>15.0000</AppVersion>
  <Pages>16</Pages>
  <Words>4039</Words>
  <Characters>30467</Characters>
  <CharactersWithSpaces>34296</CharactersWithSpaces>
  <Paragraphs>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2020-12-08T07:53:00Z</dcterms:created>
  <dc:creator>Бочарникова</dc:creator>
  <dc:description/>
  <dc:language>ru-RU</dc:language>
  <cp:lastModifiedBy/>
  <cp:lastPrinted>2022-04-12T17:04:25Z</cp:lastPrinted>
  <dcterms:modified xsi:type="dcterms:W3CDTF">2022-04-18T11:27:58Z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