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Правительства Белгородской области </w:t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27 сентября 2021 года № 430-пп</w:t>
      </w:r>
      <w:bookmarkStart w:id="0" w:name="_GoBack"/>
      <w:bookmarkEnd w:id="0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>
        <w:rPr>
          <w:rFonts w:cs="Times New Roman" w:ascii="Times New Roman" w:hAnsi="Times New Roman"/>
          <w:b/>
          <w:sz w:val="28"/>
          <w:szCs w:val="28"/>
        </w:rPr>
        <w:t>п о с т а н о в л я е т: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Внести следующие изменения в </w:t>
      </w:r>
      <w:hyperlink r:id="rId2" w:tgtFrame="consultantplus://offline/ref=7BC277F19013E956B5B209FDC9E6992E21CBA98277D529DF549E2AFF51D748F9d5fEG">
        <w:r>
          <w:rPr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Белгородской области от 27 сентября 2021 года № 430-пп «Об утверждении положения о региональном государственном лицензионном контроле</w:t>
        <w:br/>
        <w:t xml:space="preserve">за осуществлением предпринимательской деятельности по управлению многоквартирными домами»: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(далее –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</w:rPr>
        <w:t>Положение), утвержденное в пункте 1 названного постановления, изложить в редакции согласно приложению</w:t>
        <w:br/>
        <w:t xml:space="preserve">к настоящему постановлению;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</w:t>
        <w:br/>
        <w:t>на управление государственного жилищного надзора Белгородской области (Бредихин М.И.).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653"/>
        <w:tblW w:w="9599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93"/>
        <w:gridCol w:w="5505"/>
      </w:tblGrid>
      <w:tr>
        <w:trPr/>
        <w:tc>
          <w:tcPr>
            <w:tcW w:w="4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Губернатор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Белгородской области</w:t>
            </w:r>
          </w:p>
        </w:tc>
        <w:tc>
          <w:tcPr>
            <w:tcW w:w="55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В.В. Гладков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75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9"/>
        <w:gridCol w:w="4650"/>
      </w:tblGrid>
      <w:tr>
        <w:trPr>
          <w:trHeight w:val="607" w:hRule="atLeast"/>
        </w:trPr>
        <w:tc>
          <w:tcPr>
            <w:tcW w:w="5099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465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к постановлению Правительства Белгородской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от «___» ______________ 2022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_________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</w:r>
      <w:bookmarkStart w:id="1" w:name="P35"/>
      <w:bookmarkStart w:id="2" w:name="P35"/>
      <w:bookmarkEnd w:id="2"/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>Положение</w:t>
      </w:r>
    </w:p>
    <w:p>
      <w:pPr>
        <w:pStyle w:val="ConsPlusNormal"/>
        <w:widowControl w:val="false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>о региональном государственном лицензионном контроле</w:t>
        <w:br/>
        <w:t>за осуществлением предпринимательской деятельности</w:t>
        <w:br/>
        <w:t>по управлению многоквартирными домами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1.1.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(далее - Положение) устанавливает порядок организации 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- государственный контроль).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Государственный контроль осуществляется управлением государственного жилищного надзора Белгородской области (далее - УГЖН области).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Объектами лицензионного контроля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- лицензиат).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1.4. Учет объектов лицензионного контроля осуществляется с использованием государственной информационной системы жилищно-коммунального хозяйства (далее - система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жилищно-коммунального хозяйства) посредством сбора, обработки, анализа и учета информации об объектах лицензионного контроля, размещаемой в системе жилищно-коммунального хозяйства в соответствии с требованиями, установленными статьей 7 Федерального закона «О государственной информационной системе жилищно-коммунального хозяйства», информации, получаемой в рамках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1.5. Предметом государственного контроля является соблюдение лицензиатами лицензионных требований.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1.6. УГЖН области при осуществлении государственного контроля проводит контрольные (надзорные) мероприятия из числа предусмотренных Федеральным законом от 31 июля 2020 года № 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муниципальном контроле в Российской Федерации», контрольные (надзорные) мероприятия соответственно).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1.7. Государственный контроль осуществляется УГЖН области в соответствии с Положением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года № 1110 «О лицензировании предпринимательской деятельности по управлению многоквартирными домами».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Должностными лицами, уполномоченными принимать решения о проведении контрольных (надзорных) мероприятий, об отнесении объектов государственного контроля к категории риска причинения вреда (ущерба) охраняемым законом ценностям (далее - категории риска), являются начальник УГЖН области (либо лицо, его замещающее) и его заместители, на которых в соответствии с должностными обязанностями (должностным регламентом) возложены обязанности по вопросу организации и осуществления государственного контроля (далее - должностные обязанности).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Должностными лицами, уполномоченными на осуществление государственного контроля (далее - инспектор), являются государственные гражданские служащие УГЖН области в соответствии с должностными обязанностями, установленные должностным регламентом.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1.9. Должностные лица, уполномоченные на осуществление государственного контроля,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статьей 29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1.10. УГЖН области при осуществлении государственного контроля используются типовые формы документов, утвержденные в соответствии с </w:t>
      </w:r>
      <w:hyperlink r:id="rId3" w:tgtFrame="consultantplus://offline/ref=54BA0CE43A2838A550342A4022E52751272A2587787B8064F9BFAA999E95D6FF29D292E25A01ADD97142E2EB8912EBEDEAC865C9C719C6C4J5bBK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highlight w:val="white"/>
            <w:lang w:eastAsia="zh-CN"/>
          </w:rPr>
          <w:t>частью 2 статьи 21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</w:r>
    </w:p>
    <w:p>
      <w:pPr>
        <w:pStyle w:val="ConsPlusNormal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2. Управление рисками причинения вреда (ущерба) охраняемым</w:t>
      </w:r>
    </w:p>
    <w:p>
      <w:pPr>
        <w:pStyle w:val="ConsPlusNormal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законом ценностям при осуществлении</w:t>
      </w:r>
    </w:p>
    <w:p>
      <w:pPr>
        <w:pStyle w:val="ConsPlusNormal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лицензионного контроля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 осуществлении лицензионного контроля применяется система оценки и управления рисками причинения вреда (ущерба).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(ущерба):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риск;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риск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умеренный риск;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низкий риск.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2.3. Отнесение объектов лицензионного контроля к определенной категории риска причинения вреда (ущерба)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(ущерба) охраняемым законом ценностям согласно </w:t>
      </w:r>
      <w:hyperlink w:anchor="Par307" w:tgtFrame="#Par307">
        <w:r>
          <w:rPr>
            <w:rFonts w:ascii="Times New Roman" w:hAnsi="Times New Roman"/>
            <w:color w:val="000000"/>
            <w:sz w:val="28"/>
            <w:szCs w:val="28"/>
          </w:rPr>
          <w:t>приложению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Положению.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Отнесение объектов государственного контроля к категориям риска осуществляется решениями начальника УГЖН области (либо лица, его замещающего) или заместителя начальника УГЖН области.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решения об отнесении объектов государственного контроля к категориям риска такие объекты считаются отнесенными к категории низкого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Решение об изменении категории риска на более низкую категорию принимается должностным лицом, которым ранее было принято решение об отнесении объекта государственного контроля к категории риска (либо лицом, его замещающим).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Решение об отнесении к категории риска принимается в течение 5 (пяти) рабочих дней со дня поступления в УГЖН области сведений о соответствии объекта государственного контроля критериям риска иной категории риска либо об изменении критериев риска. УГЖН области ведет перечень объектов государственного контроля, которым присвоены категории риска (далее - региональный перечень). Включение объектов государственного контроля в региональный перечень осуществляется на основе решений уполномоченных должностных лиц об отнесении объектов государственного контроля к соответствующим категориям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Региональный перечень содержит следующую информацию: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юридического лица, фамилию, имя и отчество (при наличии) индивидуального предпринимателя, деятельности и (или) производственным объектам которых присвоена категория риска;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 государственный регистрационный номер;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объекта государственного контроля (при наличии);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и номер решения о присвоении объекту государственного контроля категории риска, указание на категорию риска, а также сведения, на основании которых принято решение об отнесении объекта государственного контроля к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.8. На официальном сайте УГЖН области в сети Интернет размещается и поддерживается в актуальном состоянии информация из регионального перечня, предусмотренная пунктом 2.7. раздела 2 Положения, за исключением сведений, на основании которых было принято решение об отнесении объекта государственного контроля к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По запросу контролируемых лиц УГЖН области представляет информацию о присвоенной их объектам государственного контроля категории риска, а также сведения, на основании которых принято решение об отнесении к категории риска их объектов государственного контроля.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Контролируемые лица вправе подать в адрес УГЖН области заявление об изменении присвоенной ранее категории риска их объектам государственного контроля.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Плановые контрольные (надзорные) мероприятия в отношении объектов лицензионного контроля проводятся в зависимости от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высокого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3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3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3 года.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среднего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4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4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4 года.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умеренного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5 лет;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5 лет;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5 лет.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>2.12. В отношении объектов лицензионного контроля, которые отнесены к категории низкого риска, плановые контрольные (надзорные) мероприятия не проводятся.</w:t>
      </w:r>
    </w:p>
    <w:p>
      <w:pPr>
        <w:pStyle w:val="ConsPlus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3. Организация проведения профилактических мероприятий</w:t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при осуществлении лицензионного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</w:rPr>
        <w:t>В целях стимулирования добросовестного соблюдения лицензионных требований лицензиатами, устранения условий, причин и факторов, способных привести к нарушениям лицензионных требований и (или) причинению вреда (ущерба) охраняемым законом ценностям, а также в целях создания условий для доведения лицензионных требований до лицензиатов,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В рамках лицензионного контроля осуществляются следующие профилактические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обобщение правоприменительной практики;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объявление предостережения;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консультирование;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профилактический визит.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3.3. Информирование осуществляется в соответствии со статьей 46 Федерального закона «О государственном контроле (надзоре) и муниципальном контроле в Российской Федерации»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сроки, установленные законодательством Российской Федерации, размещает и поддерживает в актуальном состоянии на своем официальном сайте в информационно-телекоммуникационной сети «Интернет» (далее - сеть «Интернет») сведения, предусмотренные частью 3 статьи 46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Обобщение правоприменительной практики осуществляется ежегодно должностными лицами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путем сбора и анализа данных о проведенных контрольных (надзорных) мероприятиях и их результатах, а также анализа поступивших в адрес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обращений.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обобщения правоприменительной практики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готовится проект доклада, содержащего результаты обобщения правоприменительной практики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доклад о правоприменительной практике), который в обязательном порядке проходит публичные обсуждения.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Доклад о правоприменительной практике утверждается приказом (распоряжением) руководителя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до 10 марта года, следующего за отчетным годом, и размещается на официальном сайте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«Интернет» до 15 марта года, следующего за отчетным годом.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 Доклад о правоприменительной практике подлежит направлению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«Интернет».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3.7. Объявление предостережения осуществляется в соответствии со статьей 49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Предостережение о недопустимости нарушения обязательных требований объявляется инспекторами в случае получения ими сведений о готовящихся или возможных нарушениях обязательных требований,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а также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(приложение к Положению №2).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3.8. Объявленное предостережение направляется в адрес контролируемого лица почтовым отправлением с уведомлением о вручении либо через личные кабинеты контролируемых лиц в государственных информационных системах (при их наличии) в течение 3 (трех) рабочих дней с даты объявления предостережения.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Инспектор регистрирует предостережение в журнале учета объявленных им предостережений с присвоением регистрационного номера.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Лицензиат не позднее 15 рабочих дней после получения предостережения о недопустимости нарушения лицензионных требований вправе подать в 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возражение в отношении указанного предостережения, в котором указываются: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юридического лица, фамилия, имя, отчество (при наличии) индивидуального предпринимателя;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идентификационный номер налогоплательщика -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дата и номер лицензии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дата и номер предостережения, направленного в адрес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обоснование позиции лицензиата 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 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лицензионных требований, или иными указанными в таком предостережении способами.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Возражение рассматривается должностным лицом УГЖН области, объявившим предостережение, не позднее 30 (тридцати) рабочих дней с даты получения такого возражения. По результатам рассмотрения возражения в адрес контролируемого лица направляется мотивированный ответ за подписью начальника УГЖН области (лица, его замещающего) или его заместителя.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3.10. Консультирование осуществляется в соответствии со статьей 50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3.11. Консультирование осуществляется по следующим вопросам: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и осуществление лицензионного контроля;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порядок проведения профилактических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предмет лицензионного контроля.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3.12. В случае поступления 5 и более обращений, содержащих однотипные вопросы, лицензиатов и (или) их представителей консультирование по таким вопросам осуществляется посредством размещения на официальном сайте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«Интернет»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 xml:space="preserve">УГЖН области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3.13. Профилактический визит осуществляется в соответствии со статьей 52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Обязательные профилактические визиты проводятся в отношении лицензиатов, приступающих к осуществлению предпринимательской деятельности по управлению многоквартирными домами, а также в отношении объектов лицензионного контроля, отнесенных к категории высокого риска.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обязано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3.14. Лицензиат вправе отказаться от проведения обязательного профилактического визита, уведомив об этом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 чем за 3 рабочих дня до даты его проведения.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лицензиата либо путем использования видео-конференц-связи.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обязательного профилактического визита составляет один рабочий день.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профилактического визита лицензиат информируется о лицензионных требованиях, предъявляемых к его деятельности как объекту лицензионного контроля, об отнесении его деятельности как объекта лицензионного контроля к категориям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указанной деятельности как объекта лицензионного контроля, отнесенного к соответствующей категории риска.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3.15. При проведении профилактического визита лицензиатам не могут выдаваться предписания об устранении нарушений лицензионных требований. Разъяснения, полученные лицензиатом в ходе профилактического визита, носят рекомендательный характер.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при проведении профилактического визита установлено, что объекты лицензионного контроля представляют явную непосредственную угрозу причинения вреда (ущерба) охраняемым законом ценностям или такой вред (ущерб) причинен, уполномоченное должностное лицо (лица)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незамедлительно направляет информацию об этом уполномоченному должностному лицу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4. Организация проведения контрольных (надзорных)</w:t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мероприятий при осуществлении лицензионного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4.1. При осуществлении лицензионного контроля проводятся следующие контрольные (надзорные)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предусматривающие взаимодействие с лицензиатом на плановой и внеплановой основе: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инспекционный визит;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документарная проверка;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 проверка;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без взаимодействия с лицензиатом: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наблюдение за соблюдением лицензионных требований;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выездное обследование.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Инспекционный визит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В ходе инспекционного визита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опрос;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 В ходе документарной проверки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истребование документов.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 В ходе выездной проверки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опрос;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инструментальное обследование;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экспертиза.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«О государственном контроле (надзоре) и муниципальном контроле в Российской Федерации» и которая для микропредприятия не может продолжаться более 40 часов.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 При осуществлении наблюдения за соблюдением лицензионных требований лицензирующий орган: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изучает размещенную в системе жилищно-коммунального хозяйства информацию о деятельности лицензиата.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Выездное обследование проводится по месту нахождения (осуществления деятельности) лицензиата (его филиалов, представительств, обособленных структурных подразделений), месту нахождения объекта контроля.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выездного обследования могут осуществляться следующие контрольные (надзорные)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испытание.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Выездное обследование проводится без информирования лицензиата.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4.9. Внеплановые контрольные (надзорные) мероприятия при осуществлении лицензионного контроля проводятся по основаниям, предусмотренным пунктами 1, 3 - 6 части 1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случаях: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его временной нетрудоспособности;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нахождения его в служебной командировке или отпуске в ином населенном пункте.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4.11. По результатам рассмотрения представленной информации лицензирующим органом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 информации о невозможности присутствия при проведении контрольного (надзорного) мероприятия.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4.12. При проведении выездной проверки или инспекционного визита должностные лица лицензирующего органа, уполномоченные на осуществление лицензионного контроля, для фиксации доказательств нарушений лицензионных требований могут использовать фотосъемку, аудио- и видеозапись.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фотосъемки, аудио-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Оформление результатов контрольного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(надзорного)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Оформление результатов контрольного (надзорного) мероприятия осуществляется в соответствии со статьей 87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По окончании проведения контрольного (надзорного) мероприятия, предусматривающего взаимодействие с лицензиатом, составляется акт.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5.4. При отказе или невозможности подписания лицензиатом или его представителем акта в акте делается соответствующая отметка. В этом случае акт направляется лицензиату в порядке, установленном статьей 21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В случае выявления по результатам проведения контрольного (надзорного)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5.7. Лицензиат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6. Порядок обжалования решений контрольных (надзорных) органов,</w:t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действий (бездействия) их должностных лиц</w:t>
      </w:r>
    </w:p>
    <w:p>
      <w:pPr>
        <w:pStyle w:val="Style12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Контролируемые лица, права и законные интересы которых, по их мнению, были непосредственно нарушены в рамках осуществления государственного контроля, имеют право на досудебное обжалование: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(надзорных)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Жалоба подается контролируемым лицом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подаче жалобы гражданином жалоба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6.4. В соответствии с порядком рассмотрения жалобы: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жалоба на решение УГЖН области, действия (бездействие) его должностных лиц рассматривается руководителем УГЖН области;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жалоба на действия (бездействие) руководителя контрольного (надзорного) органа рассматривается Администрацией Губернатора Белгородской области.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6.5. Жалоба на решение УГЖН области,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6.6. Жалоба на предписание контрольного (надзорного) органа может быть подана в течение 10 (десяти) рабочих дней с момента получения контролируемым лицом предписания.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6.7. В случае пропуска по уважительной причине срока подачи жалобы этот срок по ходатайству лица, подающего жалобу, может быть восстановлен контрольным (надзорным) органом.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6.9. Жалоба должна содержать: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УГЖН области, фамилию, имя, отчество (при наличии) должностного лица, решение и (или) действие (бездействие) которых обжалуются;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местонахождении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сведения об обжалуемых решении УГЖН области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основания и доводы, на основании которых заявитель не согласен с решением УГЖН области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требования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УГЖН области либо членов их семей.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1 (одного) рабочего дня с момента принятия решения по жалобе.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6.10. УГЖН области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6.11. УГЖН области в срок не позднее 2 (двух) рабочих дней со дня регистрации жалобы принимает решение: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решении направляется лицу, подавшему жалобу, в течение 1 (одного) рабочего дня с момента принятия решения.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 Жалоба подлежит рассмотрению УГЖН области в срок не более 20 (двадцати) рабочих дней со дня ее регистрации.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исключительных случаях, а также в случае направления запроса, предусмотренного пунктом 7.14 раздела 7 Положения, указанный срок может быть продлен, но не более чем на 20 (двадцать) рабочих дней.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6.13. УГЖН области при рассмотрении жалобы использует информационную систему досудебного обжалования контрольной (надзорной) деятельности.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6.14. УГЖН области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(пять)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6.15. По итогам рассмотрения жалобы УГЖН области принимает одно из следующих решений: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оставляет жалобу без удовлетворения;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отменяет решение контрольного (надзорного) органа полностью или частично;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признает действия (бездействие) должностных лиц УГЖН области незаконными и выносит решение по существу, в том числе об осуществлении при необходимости определенных действий.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6.16. Решение УГЖН области, содержащее обоснование принятого решения, срок и порядок его исполнения, размещается в личном кабинете проверяемого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br w:type="page"/>
      </w:r>
    </w:p>
    <w:tbl>
      <w:tblPr>
        <w:tblW w:w="964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9"/>
        <w:gridCol w:w="5805"/>
      </w:tblGrid>
      <w:tr>
        <w:trPr>
          <w:trHeight w:val="607" w:hRule="atLeast"/>
        </w:trPr>
        <w:tc>
          <w:tcPr>
            <w:tcW w:w="3839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государственном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лицензионном контроле за осуществлением предпринимательской деятельностью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Критерия отнесения деятельности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юридических лиц и индивидуальных предпринимателей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категориям риска в сфере осуществления лицензионного контроля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предпринимательской деятельности по управлению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многоквартирными домами на территории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</w:t>
      </w:r>
    </w:p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лицензиаты), лицензионных требований деятельность лицензиатов разделяется на группы тяжести «А» или «Б».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тяжести «А» относится деятельность лицензиатов 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В иных случаях деятельность лицензиатов относится к группе тяжести «Б».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вероятности «1» или «2».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«1»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охраняемым законом ценностям постановления о 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правонарушений, предусмотренных частями 2 и 3 статьи 14.1.3 Кодекса Российской Федерации об административных правонарушениях.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«2» относится деятельность лицензиатов, 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Отнесение деятельности лицензиатов к определенной категории риска основывается на соотнесении группы тяжести и группы вероятности.</w:t>
      </w:r>
    </w:p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>
          <w:trHeight w:val="57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риска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тяжести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вероятности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Умеренный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  <w:r>
        <w:br w:type="page"/>
      </w:r>
    </w:p>
    <w:tbl>
      <w:tblPr>
        <w:tblW w:w="964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9"/>
        <w:gridCol w:w="5805"/>
      </w:tblGrid>
      <w:tr>
        <w:trPr>
          <w:trHeight w:val="607" w:hRule="atLeast"/>
        </w:trPr>
        <w:tc>
          <w:tcPr>
            <w:tcW w:w="3839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государственном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лицензионном контроле за осуществлением предпринимательской деятельностью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Индикаторы риска</w:t>
        <w:br/>
        <w:t xml:space="preserve">нарушения обязательных требований, используемых для определения необходимости проведения внеплановых проверок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лицензионного контроля </w:t>
      </w:r>
      <w:r>
        <w:rPr>
          <w:rFonts w:ascii="Times New Roman" w:hAnsi="Times New Roman"/>
          <w:b/>
          <w:color w:val="000000"/>
          <w:sz w:val="28"/>
          <w:szCs w:val="28"/>
        </w:rPr>
        <w:t>предпринимательской деятельности</w:t>
        <w:br/>
        <w:t>по управлению многоквартирными домами на территории</w:t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Белгородской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1. Трехкратный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 w:val="false"/>
          <w:bCs w:val="false"/>
          <w:sz w:val="28"/>
          <w:szCs w:val="28"/>
        </w:rPr>
        <w:t>более рост количества обращений за единицу времени (месяц, квартал) в сравнении с предшествующим периодом и (или) аналогичным периодом предшествующего календарного года, поступивших в адрес управления государственного жилищного надзора Белгородской области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 государственных информационных систем о фактах нарушений контролируемыми лицами обязательных требований. установленных частью 1 статьи 20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2. Отсутствие в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течении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 размещения. устанавливаемыми федеральным органом исполнительной власти, осуществляющим функции по выработке и реализации государственной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 политики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и нормативно-правовому регулированию в сфере жилищно-коммунального хозяйства.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uiPriority w:val="99"/>
    <w:unhideWhenUsed/>
    <w:rPr>
      <w:color w:val="000080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11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11"/>
    <w:pPr/>
    <w:rPr/>
  </w:style>
  <w:style w:type="paragraph" w:styleId="Style21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Îáû÷íû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en-U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BC277F19013E956B5B209FDC9E6992E21CBA98277D529DF549E2AFF51D748F9d5fEG" TargetMode="External"/><Relationship Id="rId3" Type="http://schemas.openxmlformats.org/officeDocument/2006/relationships/hyperlink" Target="consultantplus://offline/ref=54BA0CE43A2838A550342A4022E52751272A2587787B8064F9BFAA999E95D6FF29D292E25A01ADD97142E2EB8912EBEDEAC865C9C719C6C4J5bB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356DAC3-6EAC-469E-AC26-0D8E7A9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LibreOffice/7.3.2.2$Windows_X86_64 LibreOffice_project/49f2b1bff42cfccbd8f788c8dc32c1c309559be0</Application>
  <AppVersion>15.0000</AppVersion>
  <Pages>18</Pages>
  <Words>4439</Words>
  <Characters>33483</Characters>
  <CharactersWithSpaces>37696</CharactersWithSpaces>
  <Paragraphs>243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2022-04-12T09:53:00Z</dcterms:created>
  <dc:creator>Бочарникова</dc:creator>
  <dc:description/>
  <dc:language>ru-RU</dc:language>
  <cp:lastModifiedBy/>
  <cp:lastPrinted>2022-04-25T09:41:46Z</cp:lastPrinted>
  <dcterms:modified xsi:type="dcterms:W3CDTF">2022-04-25T12:04:39Z</dcterms:modified>
  <cp:revision>30</cp:revision>
  <dc:subject/>
  <dc:title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