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28" w:lineRule="auto"/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outlineLvl w:val="2"/>
      </w:pP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r>
      <w:r/>
    </w:p>
    <w:p>
      <w:pPr>
        <w:jc w:val="center"/>
        <w:spacing w:line="228" w:lineRule="auto"/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highlight w:val="none"/>
          <w:lang w:eastAsia="ru-RU"/>
        </w:rPr>
        <w:outlineLvl w:val="2"/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highlight w:val="none"/>
          <w:lang w:eastAsia="ru-RU"/>
        </w:rPr>
      </w:r>
      <w:r/>
    </w:p>
    <w:p>
      <w:pPr>
        <w:jc w:val="center"/>
        <w:spacing w:line="228" w:lineRule="auto"/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</w:rPr>
        <w:outlineLvl w:val="2"/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  <w:t xml:space="preserve">Стандартный расчет издержек на предоставление пакета документов</w:t>
      </w:r>
      <w:r/>
    </w:p>
    <w:p>
      <w:pPr>
        <w:spacing w:line="228" w:lineRule="auto"/>
        <w:rPr>
          <w:rFonts w:hint="default" w:ascii="Times New Roman" w:hAnsi="Times New Roman" w:cs="Times New Roman"/>
          <w:b/>
          <w:bCs/>
          <w:color w:val="auto"/>
          <w:sz w:val="26"/>
          <w:szCs w:val="26"/>
        </w:rPr>
        <w:outlineLvl w:val="2"/>
      </w:pPr>
      <w:r>
        <w:rPr>
          <w:rFonts w:hint="default" w:ascii="Times New Roman" w:hAnsi="Times New Roman" w:cs="Times New Roman"/>
          <w:b/>
          <w:bCs/>
          <w:color w:val="auto"/>
          <w:sz w:val="26"/>
          <w:szCs w:val="26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val="en-US" w:eastAsia="ru-RU"/>
        </w:rPr>
        <w:t xml:space="preserve">1. </w:t>
      </w:r>
      <w:r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eastAsia="ru-RU"/>
        </w:rPr>
        <w:t xml:space="preserve">ВРЕМЕННЫЕ</w:t>
      </w:r>
      <w:r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val="en-US" w:eastAsia="ru-RU"/>
        </w:rPr>
        <w:t xml:space="preserve"> издержки: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eastAsia="ru-RU"/>
        </w:rPr>
        <w:t xml:space="preserve">Название требования: 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en-US" w:eastAsia="zh-CN"/>
        </w:rPr>
        <w:t xml:space="preserve">обязанность юридического лица, 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ru-RU" w:eastAsia="zh-CN"/>
        </w:rPr>
        <w:t xml:space="preserve">индивидуального предпринимателя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en-US" w:eastAsia="zh-CN"/>
        </w:rPr>
        <w:t xml:space="preserve"> или 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ru-RU" w:eastAsia="zh-CN"/>
        </w:rPr>
        <w:t xml:space="preserve">физического лица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en-US" w:eastAsia="zh-CN"/>
        </w:rPr>
        <w:t xml:space="preserve"> подать в орган местного самоуправления соответствующего муниципального или городского округа Белгородской области заявление по установленной форме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en-US" w:eastAsia="zh-CN"/>
        </w:rPr>
        <w:t xml:space="preserve">для включения 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ru-RU" w:eastAsia="zh-CN"/>
        </w:rPr>
        <w:t xml:space="preserve">нестационарного торгового объекта (далее - НТО), размещённого на земельном участке, находящемся в частной собственности, в схему размещения НТО.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i w:val="0"/>
          <w:iCs w:val="0"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eastAsia="ru-RU"/>
        </w:rPr>
        <w:t xml:space="preserve">Тип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val="en-US" w:eastAsia="ru-RU"/>
        </w:rPr>
        <w:t xml:space="preserve"> требов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olor w:val="auto"/>
          <w:sz w:val="26"/>
          <w:szCs w:val="26"/>
          <w:lang w:val="en-US" w:eastAsia="ru-RU"/>
        </w:rPr>
        <w:t xml:space="preserve">ания: 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6"/>
          <w:szCs w:val="26"/>
          <w:lang w:val="en-US" w:eastAsia="ru-RU"/>
        </w:rPr>
        <w:t xml:space="preserve">подготовка и представление документов.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i w:val="0"/>
          <w:iCs w:val="0"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olor w:val="auto"/>
          <w:sz w:val="26"/>
          <w:szCs w:val="26"/>
          <w:lang w:eastAsia="ru-RU"/>
        </w:rPr>
        <w:t xml:space="preserve">Частота: 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6"/>
          <w:szCs w:val="26"/>
          <w:lang w:val="en-US" w:eastAsia="ru-RU"/>
        </w:rPr>
        <w:t xml:space="preserve">единовременно (в течение срока, установленного переходными положениями — п. 6.14 проекта постановления) или при возникновении оснований для изменения схемы размещения.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cs="Times New Roman"/>
          <w:i w:val="0"/>
          <w:iCs w:val="0"/>
          <w:color w:val="auto"/>
          <w:sz w:val="26"/>
          <w:szCs w:val="26"/>
          <w:shd w:val="clear" w:color="auto" w:fill="ffffff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olor w:val="auto"/>
          <w:sz w:val="26"/>
          <w:szCs w:val="26"/>
          <w:lang w:eastAsia="ru-RU"/>
        </w:rPr>
        <w:t xml:space="preserve">Масштаб: </w:t>
      </w:r>
      <w:r>
        <w:rPr>
          <w:rFonts w:hint="default" w:ascii="Times New Roman" w:hAnsi="Times New Roman" w:cs="Times New Roman"/>
          <w:i w:val="0"/>
          <w:iCs w:val="0"/>
          <w:color w:val="auto"/>
          <w:sz w:val="26"/>
          <w:szCs w:val="26"/>
          <w:shd w:val="clear" w:color="auto" w:fill="ffffff"/>
          <w:lang w:val="ru-RU"/>
        </w:rPr>
        <w:t xml:space="preserve">500</w:t>
      </w:r>
      <w:r>
        <w:rPr>
          <w:rFonts w:hint="default" w:ascii="Times New Roman" w:hAnsi="Times New Roman" w:cs="Times New Roman"/>
          <w:i w:val="0"/>
          <w:iCs w:val="0"/>
          <w:color w:val="auto"/>
          <w:sz w:val="26"/>
          <w:szCs w:val="26"/>
          <w:shd w:val="clear" w:color="auto" w:fill="ffffff"/>
        </w:rPr>
        <w:t xml:space="preserve"> ед.</w:t>
      </w:r>
      <w:r>
        <w:rPr>
          <w:rFonts w:hint="default" w:ascii="Times New Roman" w:hAnsi="Times New Roman" w:cs="Times New Roman"/>
          <w:i w:val="0"/>
          <w:iCs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val="en-US" w:eastAsia="ru-RU"/>
        </w:rPr>
        <w:t xml:space="preserve">Варианты действий и расчет издержек:</w:t>
      </w:r>
      <w:r/>
    </w:p>
    <w:tbl>
      <w:tblPr>
        <w:tblStyle w:val="68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40"/>
        <w:gridCol w:w="3465"/>
        <w:gridCol w:w="1950"/>
        <w:gridCol w:w="4549"/>
      </w:tblGrid>
      <w:tr>
        <w:trPr>
          <w:jc w:val="center"/>
        </w:trPr>
        <w:tc>
          <w:tcPr>
            <w:tcW w:w="740" w:type="dxa"/>
            <w:vAlign w:val="center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№ п/п</w:t>
            </w:r>
            <w:r/>
          </w:p>
        </w:tc>
        <w:tc>
          <w:tcPr>
            <w:tcW w:w="3465" w:type="dxa"/>
            <w:vAlign w:val="center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Действие</w:t>
            </w:r>
            <w:r/>
          </w:p>
        </w:tc>
        <w:tc>
          <w:tcPr>
            <w:tcW w:w="1950" w:type="dxa"/>
            <w:vAlign w:val="top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Временные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затраты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одного субъекта (чел./час)</w:t>
            </w:r>
            <w:r/>
          </w:p>
        </w:tc>
        <w:tc>
          <w:tcPr>
            <w:tcW w:w="4549" w:type="dxa"/>
            <w:vAlign w:val="center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Обоснование</w:t>
            </w:r>
            <w:r/>
          </w:p>
        </w:tc>
      </w:tr>
      <w:tr>
        <w:trPr>
          <w:jc w:val="center"/>
          <w:trHeight w:val="976"/>
        </w:trPr>
        <w:tc>
          <w:tcPr>
            <w:tcW w:w="740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1</w:t>
            </w:r>
            <w:r/>
          </w:p>
        </w:tc>
        <w:tc>
          <w:tcPr>
            <w:tcW w:w="3465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Изучение требований и формы заявления</w:t>
            </w:r>
            <w:r/>
          </w:p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1</w:t>
            </w:r>
            <w:r/>
          </w:p>
        </w:tc>
        <w:tc>
          <w:tcPr>
            <w:tcW w:w="4549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Ознакомление с порядком, формой заявления и перечнем документов согласно п. 6.2–6.5 проекта</w:t>
            </w:r>
            <w:r/>
          </w:p>
        </w:tc>
      </w:tr>
      <w:tr>
        <w:trPr>
          <w:jc w:val="center"/>
        </w:trPr>
        <w:tc>
          <w:tcPr>
            <w:tcW w:w="740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2</w:t>
            </w:r>
            <w:r/>
          </w:p>
        </w:tc>
        <w:tc>
          <w:tcPr>
            <w:tcW w:w="3465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Сбор и подготовка документов: согласие собственника земли, копия правоустанавливающего документа, согласие на обработку персональных данных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2</w:t>
            </w:r>
            <w:r/>
          </w:p>
        </w:tc>
        <w:tc>
          <w:tcPr>
            <w:tcW w:w="4549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Взаимодействие с собственником земли, получение согласия, снятие и заверение копий</w:t>
            </w:r>
            <w:r/>
          </w:p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</w:tr>
      <w:tr>
        <w:trPr>
          <w:jc w:val="center"/>
        </w:trPr>
        <w:tc>
          <w:tcPr>
            <w:tcW w:w="740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3</w:t>
            </w:r>
            <w:r/>
          </w:p>
        </w:tc>
        <w:tc>
          <w:tcPr>
            <w:tcW w:w="3465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Подготовка графического отображения места размещения НТО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2</w:t>
            </w:r>
            <w:r/>
          </w:p>
        </w:tc>
        <w:tc>
          <w:tcPr>
            <w:tcW w:w="4549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Выполнение схемы/плана с учетом требований, установленных органом местного самоуправления</w:t>
            </w:r>
            <w:r/>
          </w:p>
        </w:tc>
      </w:tr>
      <w:tr>
        <w:trPr>
          <w:jc w:val="center"/>
        </w:trPr>
        <w:tc>
          <w:tcPr>
            <w:tcW w:w="740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4</w:t>
            </w:r>
            <w:r/>
          </w:p>
        </w:tc>
        <w:tc>
          <w:tcPr>
            <w:tcW w:w="3465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Заполнение заявления по установленной форме (приложение № 2 к Порядку)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1</w:t>
            </w:r>
            <w:r/>
          </w:p>
        </w:tc>
        <w:tc>
          <w:tcPr>
            <w:tcW w:w="4549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Внесение всех необходимых сведений</w:t>
            </w:r>
            <w:r/>
          </w:p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</w:tr>
      <w:tr>
        <w:trPr>
          <w:jc w:val="center"/>
        </w:trPr>
        <w:tc>
          <w:tcPr>
            <w:tcW w:w="740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5</w:t>
            </w:r>
            <w:r/>
          </w:p>
        </w:tc>
        <w:tc>
          <w:tcPr>
            <w:tcW w:w="3465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Подача заявления и документов в орган местного самоуправления</w:t>
            </w:r>
            <w:r/>
          </w:p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1</w:t>
            </w:r>
            <w:r/>
          </w:p>
        </w:tc>
        <w:tc>
          <w:tcPr>
            <w:tcW w:w="4549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Личная подача или через гос.услуги</w:t>
            </w:r>
            <w:r/>
          </w:p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</w:tr>
      <w:tr>
        <w:trPr>
          <w:jc w:val="center"/>
        </w:trPr>
        <w:tc>
          <w:tcPr>
            <w:gridSpan w:val="4"/>
            <w:tcW w:w="10704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Итого временные затраты 1 субъекта: 7 чел./часов</w:t>
            </w:r>
            <w:r/>
          </w:p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</w:tr>
      <w:tr>
        <w:trPr>
          <w:jc w:val="center"/>
        </w:trPr>
        <w:tc>
          <w:tcPr>
            <w:gridSpan w:val="4"/>
            <w:tcW w:w="10704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Итого общие временные затраты субъектов: 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3 500 чел./часов (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500 ед. × 7 чел./часов)</w:t>
            </w:r>
            <w:r/>
          </w:p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</w:tr>
    </w:tbl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val="en-US"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cs="Times New Roman"/>
          <w:color w:val="auto"/>
          <w:sz w:val="26"/>
          <w:szCs w:val="26"/>
          <w:lang w:val="en-US" w:eastAsia="zh-CN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val="en-US" w:eastAsia="ru-RU"/>
        </w:rPr>
        <w:t xml:space="preserve">2. ФИНАНСОВЫЕ издержки: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val="en-US" w:eastAsia="ru-RU"/>
        </w:rPr>
        <w:br/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val="en-US" w:eastAsia="ru-RU"/>
        </w:rPr>
        <w:tab/>
      </w:r>
      <w:r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eastAsia="ru-RU"/>
        </w:rPr>
        <w:t xml:space="preserve">Название требования: 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en-US" w:eastAsia="zh-CN"/>
        </w:rPr>
        <w:t xml:space="preserve">обязанность владе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en-US" w:eastAsia="zh-CN"/>
        </w:rPr>
        <w:t xml:space="preserve">льца НТО, размещенного на земельном участке, находящемся в частной собственности, обеспечить соответствие внешнего архитектурного облика НТО требованиям, установленным нормативным правовым актом органа местного самоуправления (п. 6.9 проекта постановления)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i w:val="0"/>
          <w:iCs w:val="0"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eastAsia="ru-RU"/>
        </w:rPr>
        <w:t xml:space="preserve">Тип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val="en-US" w:eastAsia="ru-RU"/>
        </w:rPr>
        <w:t xml:space="preserve"> требов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olor w:val="auto"/>
          <w:sz w:val="26"/>
          <w:szCs w:val="26"/>
          <w:lang w:val="en-US" w:eastAsia="ru-RU"/>
        </w:rPr>
        <w:t xml:space="preserve">ания: 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6"/>
          <w:szCs w:val="26"/>
          <w:lang w:val="en-US" w:eastAsia="ru-RU"/>
        </w:rPr>
        <w:t xml:space="preserve">изменение материальных свойств НТО (оплата товаров, работ услуг).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i w:val="0"/>
          <w:iCs w:val="0"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6"/>
          <w:szCs w:val="26"/>
          <w:lang w:val="en-US"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i w:val="0"/>
          <w:iCs w:val="0"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6"/>
          <w:szCs w:val="26"/>
          <w:lang w:val="en-US"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i w:val="0"/>
          <w:iCs w:val="0"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olor w:val="auto"/>
          <w:sz w:val="26"/>
          <w:szCs w:val="26"/>
          <w:lang w:eastAsia="ru-RU"/>
        </w:rPr>
        <w:t xml:space="preserve">Частота: 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6"/>
          <w:szCs w:val="26"/>
          <w:lang w:val="en-US" w:eastAsia="ru-RU"/>
        </w:rPr>
        <w:t xml:space="preserve">единовременно — при выявлении несоответствия и по истечении срока, указанного в уведомлении органа местного самоуправления (п. 6.11 проекта).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cs="Times New Roman"/>
          <w:i w:val="0"/>
          <w:iCs w:val="0"/>
          <w:color w:val="auto"/>
          <w:sz w:val="26"/>
          <w:szCs w:val="26"/>
          <w:shd w:val="clear" w:color="auto" w:fill="ffffff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olor w:val="auto"/>
          <w:sz w:val="26"/>
          <w:szCs w:val="26"/>
          <w:lang w:eastAsia="ru-RU"/>
        </w:rPr>
        <w:t xml:space="preserve">Масштаб: </w:t>
      </w:r>
      <w:r>
        <w:rPr>
          <w:rFonts w:hint="default" w:ascii="Times New Roman" w:hAnsi="Times New Roman" w:cs="Times New Roman"/>
          <w:i w:val="0"/>
          <w:iCs w:val="0"/>
          <w:color w:val="auto"/>
          <w:sz w:val="26"/>
          <w:szCs w:val="26"/>
          <w:shd w:val="clear" w:color="auto" w:fill="ffffff"/>
          <w:lang w:val="ru-RU" w:eastAsia="zh-CN"/>
        </w:rPr>
        <w:t xml:space="preserve">субъекты, чьи НТО не соответствуют установленным требованиям.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cs="Times New Roman"/>
          <w:i w:val="0"/>
          <w:iCs w:val="0"/>
          <w:color w:val="auto"/>
          <w:sz w:val="26"/>
          <w:szCs w:val="26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6"/>
          <w:szCs w:val="26"/>
          <w:shd w:val="clear" w:color="auto" w:fill="ffffff"/>
          <w:lang w:val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val="en-US" w:eastAsia="ru-RU"/>
        </w:rPr>
        <w:t xml:space="preserve">Варианты действий и расчет финансовых издержек:</w:t>
      </w:r>
      <w:r/>
    </w:p>
    <w:tbl>
      <w:tblPr>
        <w:tblStyle w:val="68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40"/>
        <w:gridCol w:w="3465"/>
        <w:gridCol w:w="1950"/>
        <w:gridCol w:w="4549"/>
      </w:tblGrid>
      <w:tr>
        <w:trPr>
          <w:jc w:val="center"/>
        </w:trPr>
        <w:tc>
          <w:tcPr>
            <w:tcW w:w="740" w:type="dxa"/>
            <w:vAlign w:val="center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№ п/п</w:t>
            </w:r>
            <w:r/>
          </w:p>
        </w:tc>
        <w:tc>
          <w:tcPr>
            <w:tcW w:w="3465" w:type="dxa"/>
            <w:vAlign w:val="center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Действие</w:t>
            </w:r>
            <w:r/>
          </w:p>
        </w:tc>
        <w:tc>
          <w:tcPr>
            <w:tcW w:w="1950" w:type="dxa"/>
            <w:vAlign w:val="top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Стоимость из расчета на 1 субъект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(руб.)</w:t>
            </w:r>
            <w:r/>
          </w:p>
        </w:tc>
        <w:tc>
          <w:tcPr>
            <w:tcW w:w="4549" w:type="dxa"/>
            <w:vAlign w:val="center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Обоснование</w:t>
            </w:r>
            <w:r/>
          </w:p>
        </w:tc>
      </w:tr>
      <w:tr>
        <w:trPr>
          <w:jc w:val="center"/>
          <w:trHeight w:val="976"/>
        </w:trPr>
        <w:tc>
          <w:tcPr>
            <w:tcW w:w="740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1</w:t>
            </w:r>
            <w:r/>
          </w:p>
        </w:tc>
        <w:tc>
          <w:tcPr>
            <w:tcW w:w="3465" w:type="dxa"/>
            <w:textDirection w:val="lrTb"/>
            <w:noWrap w:val="false"/>
          </w:tcPr>
          <w:p>
            <w:pPr>
              <w:jc w:val="left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Разработка/корректировка дизайн-проекта архитектурного облика</w:t>
            </w:r>
            <w:r/>
          </w:p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от 3 000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до 10 000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  <w:tc>
          <w:tcPr>
            <w:tcW w:w="4549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Стоимость зависит от сложности объекта и требований местного акта</w:t>
            </w:r>
            <w:r/>
          </w:p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</w:tr>
      <w:tr>
        <w:trPr>
          <w:jc w:val="center"/>
        </w:trPr>
        <w:tc>
          <w:tcPr>
            <w:tcW w:w="740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2</w:t>
            </w:r>
            <w:r/>
          </w:p>
        </w:tc>
        <w:tc>
          <w:tcPr>
            <w:tcW w:w="3465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Приведение внешнего вида НТО в соответствие: ремонт, покраска, замена вывески, рекламных конструкций</w:t>
            </w:r>
            <w:r/>
          </w:p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от 10 000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 до 40 000</w:t>
            </w:r>
            <w:r/>
          </w:p>
        </w:tc>
        <w:tc>
          <w:tcPr>
            <w:tcW w:w="4549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Среднерыночная стоимость работ в Белгородской области</w:t>
            </w:r>
            <w:r/>
          </w:p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</w:tr>
      <w:tr>
        <w:trPr>
          <w:jc w:val="center"/>
        </w:trPr>
        <w:tc>
          <w:tcPr>
            <w:gridSpan w:val="4"/>
            <w:tcW w:w="10704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Итого финансовые издержки 1 субъекта (диапазон) от 13 000 руб до 50 000 руб.</w:t>
            </w:r>
            <w:r/>
          </w:p>
        </w:tc>
      </w:tr>
      <w:tr>
        <w:trPr>
          <w:jc w:val="center"/>
        </w:trPr>
        <w:tc>
          <w:tcPr>
            <w:gridSpan w:val="4"/>
            <w:tcW w:w="10704" w:type="dxa"/>
            <w:textDirection w:val="lrTb"/>
            <w:noWrap w:val="false"/>
          </w:tcPr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Итого общие финансовые издержки субъектов: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от 6 500 000 руб. до 25 000 000  руб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  <w:p>
            <w:p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(от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13 000 руб. до 50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000 руб.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) × 500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                          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</w:tr>
    </w:tbl>
    <w:p>
      <w:pPr>
        <w:numPr>
          <w:numId w:val="0"/>
        </w:numPr>
        <w:jc w:val="both"/>
        <w:spacing w:line="228" w:lineRule="auto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val="en-US" w:eastAsia="ru-RU"/>
        </w:rPr>
      </w:r>
      <w:r/>
    </w:p>
    <w:p>
      <w:pPr>
        <w:numPr>
          <w:numId w:val="0"/>
        </w:num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</w:r>
      <w:r/>
    </w:p>
    <w:p>
      <w:pPr>
        <w:numPr>
          <w:numId w:val="0"/>
        </w:num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  <w:t xml:space="preserve">3. СТОИМОСТНОЙ расчет издержек:</w:t>
      </w:r>
      <w:r/>
    </w:p>
    <w:p>
      <w:pPr>
        <w:numPr>
          <w:numId w:val="0"/>
        </w:num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</w:r>
      <w:r/>
    </w:p>
    <w:p>
      <w:pPr>
        <w:numPr>
          <w:numId w:val="0"/>
        </w:num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  <w:t xml:space="preserve">3.1 Расчет временных издежек </w:t>
      </w:r>
      <w:r/>
    </w:p>
    <w:p>
      <w:pPr>
        <w:numPr>
          <w:numId w:val="0"/>
        </w:numPr>
        <w:jc w:val="both"/>
        <w:spacing w:line="228" w:lineRule="auto"/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</w:r>
      <w:r/>
    </w:p>
    <w:p>
      <w:pPr>
        <w:ind w:left="0" w:right="0" w:firstLine="0"/>
        <w:jc w:val="both"/>
        <w:spacing w:after="0" w:line="240" w:lineRule="auto"/>
      </w:pP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</w: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  <w:t xml:space="preserve">Среднемесячная за</w:t>
      </w: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  <w:t xml:space="preserve">работная плата в Белгородской области по отрасли</w:t>
      </w:r>
      <w:r>
        <w:rPr>
          <w:rFonts w:ascii="Times New Roman" w:hAnsi="Times New Roman" w:eastAsia="Tinos" w:cs="Times New Roman"/>
          <w:bCs/>
          <w:sz w:val="26"/>
          <w:szCs w:val="26"/>
          <w:lang w:eastAsia="ru-RU"/>
        </w:rPr>
        <w:t xml:space="preserve">: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 58 416 руб. 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nos" w:cs="Times New Roman"/>
          <w:sz w:val="26"/>
          <w:szCs w:val="26"/>
          <w:lang w:eastAsia="ru-RU"/>
        </w:rPr>
      </w:pP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  <w:t xml:space="preserve">Средняя стоимость часа работы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vertAlign w:val="baseline"/>
          <w:lang w:val="en-US" w:eastAsia="ru-RU"/>
        </w:rPr>
        <w:t xml:space="preserve">(с учетом страховых взносов)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: 431,48 руб. 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/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(58 416 тыс. руб./22 раб. дня/8 раб. часов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vertAlign w:val="baseline"/>
          <w:lang w:val="en-US" w:eastAsia="ru-RU"/>
        </w:rPr>
        <w:t xml:space="preserve"> × 1,30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). </w:t>
      </w:r>
      <w:r/>
    </w:p>
    <w:p>
      <w:pPr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vertAlign w:val="baseline"/>
          <w:lang w:val="en-US" w:eastAsia="ru-RU"/>
        </w:r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vertAlign w:val="baseline"/>
          <w:lang w:val="en-US" w:eastAsia="ru-RU"/>
        </w:rPr>
      </w:r>
      <w:r/>
    </w:p>
    <w:p>
      <w:pPr>
        <w:jc w:val="both"/>
        <w:spacing w:line="228" w:lineRule="auto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  <w:t xml:space="preserve">Итоговый</w:t>
      </w: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val="en-US" w:eastAsia="ru-RU"/>
        </w:rPr>
        <w:t xml:space="preserve"> расчет временных издержек:</w:t>
      </w:r>
      <w:r/>
    </w:p>
    <w:tbl>
      <w:tblPr>
        <w:tblStyle w:val="6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52"/>
        <w:gridCol w:w="5352"/>
      </w:tblGrid>
      <w:tr>
        <w:trPr>
          <w:trHeight w:val="349"/>
        </w:trPr>
        <w:tc>
          <w:tcPr>
            <w:tcW w:w="5352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Показатель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Значение</w:t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Затраты времени на 1 субъекта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7 часов</w:t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zh-CN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Стоимость 1 часа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 (с учетом страховых взносов)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zh-CN"/>
              </w:rPr>
            </w:r>
            <w:r>
              <w:rPr>
                <w:rFonts w:ascii="Times New Roman" w:hAnsi="Times New Roman" w:eastAsia="Tinos" w:cs="Times New Roman"/>
                <w:sz w:val="26"/>
                <w:szCs w:val="26"/>
                <w:lang w:eastAsia="ru-RU"/>
              </w:rPr>
              <w:t xml:space="preserve">431,48 руб.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zh-CN"/>
              </w:rPr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Временные издержки на 1 субъекта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3020,36 руб.</w:t>
            </w:r>
            <w:r/>
          </w:p>
        </w:tc>
      </w:tr>
      <w:tr>
        <w:trPr/>
        <w:tc>
          <w:tcPr>
            <w:tcW w:w="5352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Временные издержки на 500 субъектов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1 510 180 руб.</w:t>
            </w:r>
            <w:r/>
          </w:p>
        </w:tc>
      </w:tr>
    </w:tbl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vertAlign w:val="baseline"/>
          <w:lang w:val="en-US" w:eastAsia="ru-RU"/>
        </w:rPr>
        <w:t xml:space="preserve">3.2 Расчет финансовых издержек (на основе рыночных данных):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Нотариальные расходы (заверение копий документов)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  <w:t xml:space="preserve">. 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Согласно пункту 6.4 проекта, к заявлению прилагаются копии правоустанавливающих документов. 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Стоимость нотариального заверения в Белгородской области составляет: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  <w:t xml:space="preserve"> с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видетельствование верности копий — от 70 до 190 руб. за страницу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  <w:t xml:space="preserve">.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Расчет (на 1 субъекта):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Среднее количество страниц в копии правоустанавливающего документа — 3 страницы.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Затраты = 3 × 190 руб. = 570 руб.</w:t>
      </w:r>
      <w:r/>
    </w:p>
    <w:p>
      <w:pPr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highlight w:val="none"/>
          <w:lang w:eastAsia="ru-RU"/>
        </w:rPr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highlight w:val="none"/>
          <w:lang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highlight w:val="none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highlight w:val="none"/>
          <w:lang w:eastAsia="ru-RU"/>
        </w:rPr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highlight w:val="none"/>
          <w:lang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highlight w:val="none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 Разработка дизайн-проекта архитектурного облика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Услуга по разработке дизайн-проекта для НТО оценивается следующим образом:</w:t>
      </w:r>
      <w:r/>
    </w:p>
    <w:p>
      <w:pPr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Стоимость эскизного проекта для НТО начинается от 2 500 руб. (простой дизайн)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  <w:t xml:space="preserve">.</w:t>
      </w:r>
      <w:r/>
    </w:p>
    <w:p>
      <w:pPr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В тендерной практике стоимость разработки дизайн-проекта для НТО может достигать 138 000 руб. в зависимости от сложности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  <w:t xml:space="preserve">.</w:t>
      </w:r>
      <w:r/>
    </w:p>
    <w:p>
      <w:pPr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Уточненный диапазон для расчета (на 1 субъекта):от 3 000 до 10 000 руб. </w:t>
      </w:r>
      <w:r/>
    </w:p>
    <w:p>
      <w:pPr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Приведение внешнего вида НТО в соответствие (ремонт, покраска, замена вывесок)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  <w:t xml:space="preserve">.</w:t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Среднерыночные цены на отделочные работы в Белгородской области, подтвержденные данными тендеров:</w:t>
      </w:r>
      <w:r/>
    </w:p>
    <w:p>
      <w:pPr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Работы по текущему ремонту административных и нежилых зданий варьируются 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  <w:t xml:space="preserve"> </w:t>
      </w:r>
      <w:bookmarkStart w:id="0" w:name="_GoBack"/>
      <w:r/>
      <w:bookmarkEnd w:id="0"/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от 44 932 до 1 434 561 руб. в зависимости от объема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  <w:t xml:space="preserve">.</w:t>
      </w:r>
      <w:r/>
    </w:p>
    <w:p>
      <w:pPr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r>
      <w:r/>
    </w:p>
    <w:p>
      <w:pPr>
        <w:ind w:firstLine="708"/>
        <w:jc w:val="both"/>
        <w:spacing w:line="228" w:lineRule="auto"/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Уточненный диапазон для приведения НТО в соответствие (на 1 субъекта):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val="en-US" w:eastAsia="ru-RU"/>
        </w:rPr>
        <w:t xml:space="preserve"> о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6"/>
          <w:szCs w:val="26"/>
          <w:lang w:eastAsia="ru-RU"/>
        </w:rPr>
        <w:t xml:space="preserve">т 10 000 до 40 000 руб.</w:t>
      </w:r>
      <w:r/>
    </w:p>
    <w:p>
      <w:pPr>
        <w:jc w:val="both"/>
        <w:spacing w:line="228" w:lineRule="auto"/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eastAsia="ru-RU"/>
        </w:rPr>
      </w:r>
      <w:r/>
    </w:p>
    <w:p>
      <w:pPr>
        <w:jc w:val="both"/>
        <w:spacing w:line="228" w:lineRule="auto"/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eastAsia="ru-RU"/>
        </w:rPr>
      </w:r>
      <w:r/>
    </w:p>
    <w:p>
      <w:pPr>
        <w:numPr>
          <w:ilvl w:val="0"/>
          <w:numId w:val="1"/>
        </w:numPr>
        <w:ind w:left="420"/>
        <w:jc w:val="both"/>
        <w:spacing w:line="228" w:lineRule="auto"/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val="en-US" w:eastAsia="ru-RU"/>
        </w:rPr>
        <w:t xml:space="preserve">ИТОГОВЫЙ сводный отчет:</w:t>
      </w:r>
      <w:r/>
    </w:p>
    <w:tbl>
      <w:tblPr>
        <w:tblStyle w:val="6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90"/>
        <w:gridCol w:w="3615"/>
        <w:gridCol w:w="3270"/>
        <w:gridCol w:w="3229"/>
      </w:tblGrid>
      <w:tr>
        <w:trPr/>
        <w:tc>
          <w:tcPr>
            <w:tcW w:w="590" w:type="dxa"/>
            <w:vAlign w:val="center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№ п/п</w:t>
            </w:r>
            <w:r/>
          </w:p>
        </w:tc>
        <w:tc>
          <w:tcPr>
            <w:tcW w:w="3615" w:type="dxa"/>
            <w:vAlign w:val="center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Вид издержек</w:t>
            </w:r>
            <w:r/>
          </w:p>
        </w:tc>
        <w:tc>
          <w:tcPr>
            <w:tcW w:w="3270" w:type="dxa"/>
            <w:vAlign w:val="center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На 1 субъект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br/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(руб.)</w:t>
            </w:r>
            <w:r/>
          </w:p>
        </w:tc>
        <w:tc>
          <w:tcPr>
            <w:tcW w:w="3229" w:type="dxa"/>
            <w:vAlign w:val="center"/>
            <w:textDirection w:val="lrTb"/>
            <w:noWrap w:val="false"/>
          </w:tcPr>
          <w:p>
            <w:pPr>
              <w:jc w:val="center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На 500 субъектов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br/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(руб.)</w:t>
            </w:r>
            <w:r/>
          </w:p>
        </w:tc>
      </w:tr>
      <w:tr>
        <w:trPr/>
        <w:tc>
          <w:tcPr>
            <w:tcW w:w="590" w:type="dxa"/>
            <w:textDirection w:val="lrTb"/>
            <w:noWrap w:val="false"/>
          </w:tcPr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1</w:t>
            </w:r>
            <w:r/>
          </w:p>
        </w:tc>
        <w:tc>
          <w:tcPr>
            <w:tcW w:w="3615" w:type="dxa"/>
            <w:vAlign w:val="center"/>
            <w:textDirection w:val="lrTb"/>
            <w:noWrap w:val="false"/>
          </w:tcPr>
          <w:p>
            <w:pPr>
              <w:jc w:val="left"/>
              <w:spacing w:line="228" w:lineRule="auto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Временные издержки 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br/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(7 часов × </w:t>
            </w:r>
            <w:r>
              <w:rPr>
                <w:rFonts w:ascii="Times New Roman" w:hAnsi="Times New Roman" w:eastAsia="Tinos" w:cs="Times New Roman"/>
                <w:sz w:val="26"/>
                <w:szCs w:val="26"/>
                <w:lang w:eastAsia="ru-RU"/>
              </w:rPr>
              <w:t xml:space="preserve">431,48 руб.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)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</w:tc>
        <w:tc>
          <w:tcPr>
            <w:tcW w:w="3270" w:type="dxa"/>
            <w:vAlign w:val="center"/>
            <w:textDirection w:val="lrTb"/>
            <w:noWrap w:val="false"/>
          </w:tcPr>
          <w:p>
            <w:pP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3020,36</w:t>
            </w:r>
            <w:r/>
          </w:p>
        </w:tc>
        <w:tc>
          <w:tcPr>
            <w:tcW w:w="3229" w:type="dxa"/>
            <w:vAlign w:val="center"/>
            <w:textDirection w:val="lrTb"/>
            <w:noWrap w:val="false"/>
          </w:tcPr>
          <w:p>
            <w:pP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1 510 180 </w:t>
            </w:r>
            <w:r/>
          </w:p>
        </w:tc>
      </w:tr>
      <w:tr>
        <w:trPr/>
        <w:tc>
          <w:tcPr>
            <w:tcW w:w="590" w:type="dxa"/>
            <w:textDirection w:val="lrTb"/>
            <w:noWrap w:val="false"/>
          </w:tcPr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2</w:t>
            </w:r>
            <w:r/>
          </w:p>
        </w:tc>
        <w:tc>
          <w:tcPr>
            <w:tcW w:w="3615" w:type="dxa"/>
            <w:vAlign w:val="center"/>
            <w:textDirection w:val="lrTb"/>
            <w:noWrap w:val="false"/>
          </w:tcPr>
          <w:p>
            <w:pP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Нотариальные расходы (заверение копий)</w:t>
            </w:r>
            <w:r/>
          </w:p>
        </w:tc>
        <w:tc>
          <w:tcPr>
            <w:tcW w:w="3270" w:type="dxa"/>
            <w:vAlign w:val="center"/>
            <w:textDirection w:val="lrTb"/>
            <w:noWrap w:val="false"/>
          </w:tcPr>
          <w:p>
            <w:pP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570</w:t>
            </w:r>
            <w:r/>
          </w:p>
        </w:tc>
        <w:tc>
          <w:tcPr>
            <w:tcW w:w="3229" w:type="dxa"/>
            <w:vAlign w:val="center"/>
            <w:textDirection w:val="lrTb"/>
            <w:noWrap w:val="false"/>
          </w:tcPr>
          <w:p>
            <w:pP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285 000</w:t>
            </w:r>
            <w:r/>
          </w:p>
        </w:tc>
      </w:tr>
      <w:tr>
        <w:trPr/>
        <w:tc>
          <w:tcPr>
            <w:tcW w:w="590" w:type="dxa"/>
            <w:textDirection w:val="lrTb"/>
            <w:noWrap w:val="false"/>
          </w:tcPr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3</w:t>
            </w:r>
            <w:r/>
          </w:p>
        </w:tc>
        <w:tc>
          <w:tcPr>
            <w:tcW w:w="3615" w:type="dxa"/>
            <w:vAlign w:val="center"/>
            <w:textDirection w:val="lrTb"/>
            <w:noWrap w:val="false"/>
          </w:tcPr>
          <w:p>
            <w:pP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Разработка дизайн-проекта</w:t>
            </w:r>
            <w:r/>
          </w:p>
        </w:tc>
        <w:tc>
          <w:tcPr>
            <w:tcW w:w="3270" w:type="dxa"/>
            <w:vAlign w:val="center"/>
            <w:textDirection w:val="lrTb"/>
            <w:noWrap w:val="false"/>
          </w:tcPr>
          <w:p>
            <w:pP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от 3 000 до 10 000</w:t>
            </w:r>
            <w:r/>
          </w:p>
        </w:tc>
        <w:tc>
          <w:tcPr>
            <w:tcW w:w="3229" w:type="dxa"/>
            <w:vAlign w:val="center"/>
            <w:textDirection w:val="lrTb"/>
            <w:noWrap w:val="false"/>
          </w:tcPr>
          <w:p>
            <w:pP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от 1 500 000 до 5 000 000</w:t>
            </w:r>
            <w:r/>
          </w:p>
        </w:tc>
      </w:tr>
      <w:tr>
        <w:trPr/>
        <w:tc>
          <w:tcPr>
            <w:tcW w:w="590" w:type="dxa"/>
            <w:textDirection w:val="lrTb"/>
            <w:noWrap w:val="false"/>
          </w:tcPr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4</w:t>
            </w:r>
            <w:r/>
          </w:p>
        </w:tc>
        <w:tc>
          <w:tcPr>
            <w:tcW w:w="3615" w:type="dxa"/>
            <w:vAlign w:val="center"/>
            <w:textDirection w:val="lrTb"/>
            <w:noWrap w:val="false"/>
          </w:tcPr>
          <w:p>
            <w:pP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Приведение внешнего вида НТО</w:t>
            </w:r>
            <w:r/>
          </w:p>
        </w:tc>
        <w:tc>
          <w:tcPr>
            <w:tcW w:w="3270" w:type="dxa"/>
            <w:vAlign w:val="center"/>
            <w:textDirection w:val="lrTb"/>
            <w:noWrap w:val="false"/>
          </w:tcPr>
          <w:p>
            <w:pP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от 10 000 до 40 000</w:t>
            </w:r>
            <w:r/>
          </w:p>
        </w:tc>
        <w:tc>
          <w:tcPr>
            <w:tcW w:w="3229" w:type="dxa"/>
            <w:vAlign w:val="center"/>
            <w:textDirection w:val="lrTb"/>
            <w:noWrap w:val="false"/>
          </w:tcPr>
          <w:p>
            <w:pP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от 5 000 000 до 20 000 000</w:t>
            </w:r>
            <w:r/>
          </w:p>
        </w:tc>
      </w:tr>
      <w:tr>
        <w:trPr/>
        <w:tc>
          <w:tcPr>
            <w:gridSpan w:val="2"/>
            <w:tcW w:w="4205" w:type="dxa"/>
            <w:textDirection w:val="lrTb"/>
            <w:noWrap w:val="false"/>
          </w:tcPr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ИТОГО финансовых издержек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br/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(п. 2–4)</w:t>
            </w:r>
            <w:r>
              <w:rPr>
                <w:b/>
                <w:bCs/>
              </w:rPr>
            </w:r>
            <w:r/>
          </w:p>
        </w:tc>
        <w:tc>
          <w:tcPr>
            <w:tcW w:w="3270" w:type="dxa"/>
            <w:textDirection w:val="lrTb"/>
            <w:noWrap w:val="false"/>
          </w:tcPr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от 13 570 до 50 570</w:t>
            </w:r>
            <w:r>
              <w:rPr>
                <w:b/>
                <w:bCs/>
              </w:rPr>
            </w:r>
            <w:r/>
          </w:p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>
              <w:rPr>
                <w:b/>
                <w:bCs/>
              </w:rPr>
            </w:r>
            <w:r/>
          </w:p>
        </w:tc>
        <w:tc>
          <w:tcPr>
            <w:tcW w:w="3229" w:type="dxa"/>
            <w:textDirection w:val="lrTb"/>
            <w:noWrap w:val="false"/>
          </w:tcPr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от 6 785 000 до 25 285 000</w:t>
            </w:r>
            <w:r>
              <w:rPr>
                <w:b/>
                <w:bCs/>
              </w:rPr>
            </w:r>
            <w:r/>
          </w:p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gridSpan w:val="2"/>
            <w:tcW w:w="4205" w:type="dxa"/>
            <w:textDirection w:val="lrTb"/>
            <w:noWrap w:val="false"/>
          </w:tcPr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ВСЕГО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br/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(с учетом временных издержек)</w:t>
            </w:r>
            <w:r>
              <w:rPr>
                <w:b/>
                <w:bCs/>
              </w:rPr>
            </w:r>
            <w:r/>
          </w:p>
        </w:tc>
        <w:tc>
          <w:tcPr>
            <w:tcW w:w="3270" w:type="dxa"/>
            <w:textDirection w:val="lrTb"/>
            <w:noWrap w:val="false"/>
          </w:tcPr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от 16 590,36 до 53 590,36</w:t>
            </w:r>
            <w:r>
              <w:rPr>
                <w:b/>
                <w:bCs/>
              </w:rPr>
            </w:r>
            <w:r/>
          </w:p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>
              <w:rPr>
                <w:b/>
                <w:bCs/>
              </w:rPr>
            </w:r>
            <w:r/>
          </w:p>
        </w:tc>
        <w:tc>
          <w:tcPr>
            <w:tcW w:w="3229" w:type="dxa"/>
            <w:textDirection w:val="lrTb"/>
            <w:noWrap w:val="false"/>
          </w:tcPr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от 8 295 180 до 26 795 180</w:t>
            </w:r>
            <w:r>
              <w:rPr>
                <w:b/>
                <w:bCs/>
              </w:rPr>
            </w:r>
            <w:r/>
          </w:p>
          <w:p>
            <w:pPr>
              <w:numPr>
                <w:numId w:val="0"/>
              </w:numPr>
              <w:jc w:val="both"/>
              <w:spacing w:line="228" w:lineRule="auto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>
              <w:rPr>
                <w:b/>
                <w:bCs/>
              </w:rPr>
            </w:r>
            <w:r/>
          </w:p>
        </w:tc>
      </w:tr>
    </w:tbl>
    <w:p>
      <w:pPr>
        <w:numPr>
          <w:numId w:val="0"/>
        </w:numPr>
        <w:jc w:val="both"/>
        <w:spacing w:line="228" w:lineRule="auto"/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6"/>
          <w:szCs w:val="26"/>
          <w:lang w:val="en-US" w:eastAsia="ru-RU"/>
        </w:rPr>
        <w:br/>
      </w:r>
      <w:r/>
    </w:p>
    <w:p>
      <w:pPr>
        <w:jc w:val="both"/>
        <w:spacing w:line="228" w:lineRule="auto"/>
        <w:rPr>
          <w:rFonts w:ascii="Times New Roman" w:hAnsi="Times New Roman" w:eastAsia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426" w:right="567" w:bottom="284" w:left="851" w:header="142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SimSun">
    <w:panose1 w:val="02000506000000020000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2</w:t>
    </w:r>
    <w:r>
      <w:rPr>
        <w:rFonts w:ascii="Times New Roman" w:hAnsi="Times New Roman"/>
      </w:rPr>
      <w:fldChar w:fldCharType="end"/>
    </w:r>
    <w:r/>
  </w:p>
  <w:p>
    <w:pPr>
      <w:pStyle w:val="67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space"/>
      <w:lvlText w:val="%1."/>
      <w:lvlJc w:val="left"/>
      <w:pPr>
        <w:ind w:left="42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uiPriority w:val="0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Cs w:val="22"/>
      <w:lang w:val="ru-RU" w:eastAsia="en-US" w:bidi="en-US"/>
    </w:rPr>
  </w:style>
  <w:style w:type="paragraph" w:styleId="655">
    <w:name w:val="Heading 1"/>
    <w:next w:val="654"/>
    <w:link w:val="705"/>
    <w:uiPriority w:val="9"/>
    <w:qFormat/>
    <w:pPr>
      <w:keepLines/>
      <w:keepNext/>
      <w:spacing w:before="480" w:after="20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outlineLvl w:val="0"/>
    </w:pPr>
    <w:rPr>
      <w:rFonts w:hint="default" w:ascii="Arial" w:hAnsi="Arial" w:eastAsia="Arial" w:cs="Arial"/>
      <w:sz w:val="40"/>
      <w:szCs w:val="40"/>
      <w:lang w:val="ru-RU" w:eastAsia="en-US" w:bidi="en-US"/>
    </w:rPr>
  </w:style>
  <w:style w:type="paragraph" w:styleId="656">
    <w:name w:val="Heading 2"/>
    <w:next w:val="654"/>
    <w:link w:val="706"/>
    <w:uiPriority w:val="9"/>
    <w:unhideWhenUsed/>
    <w:qFormat/>
    <w:pPr>
      <w:keepLines/>
      <w:keepNext/>
      <w:spacing w:before="360" w:after="20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outlineLvl w:val="1"/>
    </w:pPr>
    <w:rPr>
      <w:rFonts w:hint="default" w:ascii="Arial" w:hAnsi="Arial" w:eastAsia="Arial" w:cs="Arial"/>
      <w:sz w:val="34"/>
      <w:szCs w:val="22"/>
      <w:lang w:val="ru-RU" w:eastAsia="en-US" w:bidi="en-US"/>
    </w:rPr>
  </w:style>
  <w:style w:type="paragraph" w:styleId="657">
    <w:name w:val="Heading 3"/>
    <w:next w:val="654"/>
    <w:link w:val="707"/>
    <w:uiPriority w:val="9"/>
    <w:unhideWhenUsed/>
    <w:qFormat/>
    <w:pPr>
      <w:keepLines/>
      <w:keepNext/>
      <w:spacing w:before="320" w:after="20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outlineLvl w:val="2"/>
    </w:pPr>
    <w:rPr>
      <w:rFonts w:hint="default" w:ascii="Arial" w:hAnsi="Arial" w:eastAsia="Arial" w:cs="Arial"/>
      <w:sz w:val="30"/>
      <w:szCs w:val="30"/>
      <w:lang w:val="ru-RU" w:eastAsia="en-US" w:bidi="en-US"/>
    </w:rPr>
  </w:style>
  <w:style w:type="paragraph" w:styleId="658">
    <w:name w:val="Heading 4"/>
    <w:next w:val="654"/>
    <w:link w:val="708"/>
    <w:uiPriority w:val="9"/>
    <w:unhideWhenUsed/>
    <w:qFormat/>
    <w:pPr>
      <w:keepLines/>
      <w:keepNext/>
      <w:spacing w:before="320" w:after="20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outlineLvl w:val="3"/>
    </w:pPr>
    <w:rPr>
      <w:rFonts w:hint="default" w:ascii="Arial" w:hAnsi="Arial" w:eastAsia="Arial" w:cs="Arial"/>
      <w:b/>
      <w:bCs/>
      <w:sz w:val="26"/>
      <w:szCs w:val="26"/>
      <w:lang w:val="ru-RU" w:eastAsia="en-US" w:bidi="en-US"/>
    </w:rPr>
  </w:style>
  <w:style w:type="paragraph" w:styleId="659">
    <w:name w:val="Heading 5"/>
    <w:next w:val="654"/>
    <w:link w:val="709"/>
    <w:uiPriority w:val="9"/>
    <w:unhideWhenUsed/>
    <w:qFormat/>
    <w:pPr>
      <w:keepLines/>
      <w:keepNext/>
      <w:spacing w:before="320" w:after="20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outlineLvl w:val="4"/>
    </w:pPr>
    <w:rPr>
      <w:rFonts w:hint="default" w:ascii="Arial" w:hAnsi="Arial" w:eastAsia="Arial" w:cs="Arial"/>
      <w:b/>
      <w:bCs/>
      <w:sz w:val="24"/>
      <w:szCs w:val="24"/>
      <w:lang w:val="ru-RU" w:eastAsia="en-US" w:bidi="en-US"/>
    </w:rPr>
  </w:style>
  <w:style w:type="paragraph" w:styleId="660">
    <w:name w:val="Heading 6"/>
    <w:next w:val="654"/>
    <w:link w:val="710"/>
    <w:uiPriority w:val="9"/>
    <w:unhideWhenUsed/>
    <w:qFormat/>
    <w:pPr>
      <w:keepLines/>
      <w:keepNext/>
      <w:spacing w:before="320" w:after="20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outlineLvl w:val="5"/>
    </w:pPr>
    <w:rPr>
      <w:rFonts w:hint="default" w:ascii="Arial" w:hAnsi="Arial" w:eastAsia="Arial" w:cs="Arial"/>
      <w:b/>
      <w:bCs/>
      <w:sz w:val="22"/>
      <w:szCs w:val="22"/>
      <w:lang w:val="ru-RU" w:eastAsia="en-US" w:bidi="en-US"/>
    </w:rPr>
  </w:style>
  <w:style w:type="paragraph" w:styleId="661">
    <w:name w:val="Heading 7"/>
    <w:next w:val="654"/>
    <w:link w:val="711"/>
    <w:uiPriority w:val="9"/>
    <w:unhideWhenUsed/>
    <w:qFormat/>
    <w:pPr>
      <w:keepLines/>
      <w:keepNext/>
      <w:spacing w:before="320" w:after="20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outlineLvl w:val="6"/>
    </w:pPr>
    <w:rPr>
      <w:rFonts w:hint="default" w:ascii="Arial" w:hAnsi="Arial" w:eastAsia="Arial" w:cs="Arial"/>
      <w:b/>
      <w:bCs/>
      <w:i/>
      <w:iCs/>
      <w:sz w:val="22"/>
      <w:szCs w:val="22"/>
      <w:lang w:val="ru-RU" w:eastAsia="en-US" w:bidi="en-US"/>
    </w:rPr>
  </w:style>
  <w:style w:type="paragraph" w:styleId="662">
    <w:name w:val="Heading 8"/>
    <w:next w:val="654"/>
    <w:link w:val="712"/>
    <w:uiPriority w:val="9"/>
    <w:unhideWhenUsed/>
    <w:qFormat/>
    <w:pPr>
      <w:keepLines/>
      <w:keepNext/>
      <w:spacing w:before="320" w:after="20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outlineLvl w:val="7"/>
    </w:pPr>
    <w:rPr>
      <w:rFonts w:hint="default" w:ascii="Arial" w:hAnsi="Arial" w:eastAsia="Arial" w:cs="Arial"/>
      <w:i/>
      <w:iCs/>
      <w:sz w:val="22"/>
      <w:szCs w:val="22"/>
      <w:lang w:val="ru-RU" w:eastAsia="en-US" w:bidi="en-US"/>
    </w:rPr>
  </w:style>
  <w:style w:type="paragraph" w:styleId="663">
    <w:name w:val="Heading 9"/>
    <w:next w:val="654"/>
    <w:link w:val="713"/>
    <w:uiPriority w:val="9"/>
    <w:unhideWhenUsed/>
    <w:qFormat/>
    <w:pPr>
      <w:keepLines/>
      <w:keepNext/>
      <w:spacing w:before="320" w:after="20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outlineLvl w:val="8"/>
    </w:pPr>
    <w:rPr>
      <w:rFonts w:hint="default" w:ascii="Arial" w:hAnsi="Arial" w:eastAsia="Arial" w:cs="Arial"/>
      <w:i/>
      <w:iCs/>
      <w:sz w:val="21"/>
      <w:szCs w:val="21"/>
      <w:lang w:val="ru-RU" w:eastAsia="en-US" w:bidi="en-US"/>
    </w:rPr>
  </w:style>
  <w:style w:type="character" w:styleId="664" w:default="1">
    <w:name w:val="Default Paragraph Font"/>
    <w:uiPriority w:val="1"/>
    <w:semiHidden/>
    <w:unhideWhenUsed/>
    <w:qFormat/>
  </w:style>
  <w:style w:type="table" w:styleId="665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66">
    <w:name w:val="footnote reference"/>
    <w:uiPriority w:val="99"/>
    <w:unhideWhenUsed/>
    <w:qFormat/>
    <w:rPr>
      <w:vertAlign w:val="superscript"/>
    </w:rPr>
  </w:style>
  <w:style w:type="character" w:styleId="667">
    <w:name w:val="endnote reference"/>
    <w:basedOn w:val="664"/>
    <w:uiPriority w:val="99"/>
    <w:semiHidden/>
    <w:unhideWhenUsed/>
    <w:qFormat/>
    <w:rPr>
      <w:vertAlign w:val="superscript"/>
    </w:rPr>
  </w:style>
  <w:style w:type="character" w:styleId="668">
    <w:name w:val="Emphasis"/>
    <w:uiPriority w:val="0"/>
    <w:qFormat/>
    <w:rPr>
      <w:i/>
      <w:iCs/>
    </w:rPr>
  </w:style>
  <w:style w:type="character" w:styleId="669">
    <w:name w:val="Hyperlink"/>
    <w:uiPriority w:val="0"/>
    <w:semiHidden/>
    <w:qFormat/>
    <w:rPr>
      <w:color w:val="0000ff"/>
      <w:u w:val="single"/>
    </w:rPr>
  </w:style>
  <w:style w:type="paragraph" w:styleId="670">
    <w:name w:val="Balloon Text"/>
    <w:basedOn w:val="654"/>
    <w:link w:val="852"/>
    <w:uiPriority w:val="0"/>
    <w:semiHidden/>
    <w:qFormat/>
    <w:rPr>
      <w:rFonts w:ascii="Segoe UI" w:hAnsi="Segoe UI"/>
      <w:sz w:val="18"/>
      <w:szCs w:val="18"/>
      <w:lang w:val="en-US"/>
    </w:rPr>
  </w:style>
  <w:style w:type="paragraph" w:styleId="671">
    <w:name w:val="endnote text"/>
    <w:basedOn w:val="654"/>
    <w:link w:val="704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672">
    <w:name w:val="Caption"/>
    <w:next w:val="654"/>
    <w:uiPriority w:val="35"/>
    <w:semiHidden/>
    <w:unhideWhenUsed/>
    <w:qFormat/>
    <w:pPr>
      <w:spacing w:line="276" w:lineRule="auto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b/>
      <w:bCs/>
      <w:color w:val="4f81bd"/>
      <w:sz w:val="18"/>
      <w:szCs w:val="18"/>
      <w:lang w:val="ru-RU" w:eastAsia="en-US" w:bidi="en-US"/>
    </w:rPr>
  </w:style>
  <w:style w:type="paragraph" w:styleId="673">
    <w:name w:val="footnote text"/>
    <w:link w:val="850"/>
    <w:uiPriority w:val="99"/>
    <w:semiHidden/>
    <w:unhideWhenUsed/>
    <w:qFormat/>
    <w:pPr>
      <w:spacing w:after="4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 w:val="18"/>
      <w:szCs w:val="22"/>
      <w:lang w:val="ru-RU" w:eastAsia="en-US" w:bidi="en-US"/>
    </w:rPr>
  </w:style>
  <w:style w:type="paragraph" w:styleId="674">
    <w:name w:val="toc 8"/>
    <w:next w:val="654"/>
    <w:uiPriority w:val="39"/>
    <w:unhideWhenUsed/>
    <w:qFormat/>
    <w:pPr>
      <w:ind w:left="1984"/>
      <w:spacing w:after="57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Cs w:val="22"/>
      <w:lang w:val="ru-RU" w:eastAsia="en-US" w:bidi="en-US"/>
    </w:rPr>
  </w:style>
  <w:style w:type="paragraph" w:styleId="675">
    <w:name w:val="Header"/>
    <w:basedOn w:val="654"/>
    <w:link w:val="854"/>
    <w:uiPriority w:val="0"/>
    <w:qFormat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676">
    <w:name w:val="toc 9"/>
    <w:next w:val="654"/>
    <w:uiPriority w:val="39"/>
    <w:unhideWhenUsed/>
    <w:qFormat/>
    <w:pPr>
      <w:ind w:left="2268"/>
      <w:spacing w:after="57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Cs w:val="22"/>
      <w:lang w:val="ru-RU" w:eastAsia="en-US" w:bidi="en-US"/>
    </w:rPr>
  </w:style>
  <w:style w:type="paragraph" w:styleId="677">
    <w:name w:val="toc 7"/>
    <w:next w:val="654"/>
    <w:uiPriority w:val="39"/>
    <w:unhideWhenUsed/>
    <w:qFormat/>
    <w:pPr>
      <w:ind w:left="1701"/>
      <w:spacing w:after="57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Cs w:val="22"/>
      <w:lang w:val="ru-RU" w:eastAsia="en-US" w:bidi="en-US"/>
    </w:rPr>
  </w:style>
  <w:style w:type="paragraph" w:styleId="678">
    <w:name w:val="toc 1"/>
    <w:next w:val="654"/>
    <w:uiPriority w:val="39"/>
    <w:unhideWhenUsed/>
    <w:qFormat/>
    <w:pPr>
      <w:spacing w:after="57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Cs w:val="22"/>
      <w:lang w:val="ru-RU" w:eastAsia="en-US" w:bidi="en-US"/>
    </w:rPr>
  </w:style>
  <w:style w:type="paragraph" w:styleId="679">
    <w:name w:val="toc 6"/>
    <w:next w:val="654"/>
    <w:uiPriority w:val="39"/>
    <w:unhideWhenUsed/>
    <w:qFormat/>
    <w:pPr>
      <w:ind w:left="1417"/>
      <w:spacing w:after="57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Cs w:val="22"/>
      <w:lang w:val="ru-RU" w:eastAsia="en-US" w:bidi="en-US"/>
    </w:rPr>
  </w:style>
  <w:style w:type="paragraph" w:styleId="680">
    <w:name w:val="table of figures"/>
    <w:basedOn w:val="654"/>
    <w:next w:val="654"/>
    <w:uiPriority w:val="99"/>
    <w:unhideWhenUsed/>
    <w:qFormat/>
    <w:pPr>
      <w:spacing w:after="0" w:afterAutospacing="0"/>
    </w:pPr>
  </w:style>
  <w:style w:type="paragraph" w:styleId="681">
    <w:name w:val="toc 3"/>
    <w:next w:val="654"/>
    <w:uiPriority w:val="39"/>
    <w:unhideWhenUsed/>
    <w:qFormat/>
    <w:pPr>
      <w:ind w:left="567"/>
      <w:spacing w:after="57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Cs w:val="22"/>
      <w:lang w:val="ru-RU" w:eastAsia="en-US" w:bidi="en-US"/>
    </w:rPr>
  </w:style>
  <w:style w:type="paragraph" w:styleId="682">
    <w:name w:val="toc 2"/>
    <w:next w:val="654"/>
    <w:uiPriority w:val="39"/>
    <w:unhideWhenUsed/>
    <w:qFormat/>
    <w:pPr>
      <w:ind w:left="283"/>
      <w:spacing w:after="57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Cs w:val="22"/>
      <w:lang w:val="ru-RU" w:eastAsia="en-US" w:bidi="en-US"/>
    </w:rPr>
  </w:style>
  <w:style w:type="paragraph" w:styleId="683">
    <w:name w:val="toc 4"/>
    <w:next w:val="654"/>
    <w:uiPriority w:val="39"/>
    <w:unhideWhenUsed/>
    <w:qFormat/>
    <w:pPr>
      <w:ind w:left="850"/>
      <w:spacing w:after="57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Cs w:val="22"/>
      <w:lang w:val="ru-RU" w:eastAsia="en-US" w:bidi="en-US"/>
    </w:rPr>
  </w:style>
  <w:style w:type="paragraph" w:styleId="684">
    <w:name w:val="toc 5"/>
    <w:next w:val="654"/>
    <w:uiPriority w:val="39"/>
    <w:unhideWhenUsed/>
    <w:qFormat/>
    <w:pPr>
      <w:ind w:left="1134"/>
      <w:spacing w:after="57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Cs w:val="22"/>
      <w:lang w:val="ru-RU" w:eastAsia="en-US" w:bidi="en-US"/>
    </w:rPr>
  </w:style>
  <w:style w:type="paragraph" w:styleId="685">
    <w:name w:val="Title"/>
    <w:link w:val="716"/>
    <w:uiPriority w:val="10"/>
    <w:qFormat/>
    <w:pPr>
      <w:contextualSpacing/>
      <w:spacing w:before="300" w:after="20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 w:val="48"/>
      <w:szCs w:val="48"/>
      <w:lang w:val="ru-RU" w:eastAsia="en-US" w:bidi="en-US"/>
    </w:rPr>
  </w:style>
  <w:style w:type="paragraph" w:styleId="686">
    <w:name w:val="Footer"/>
    <w:basedOn w:val="654"/>
    <w:link w:val="855"/>
    <w:uiPriority w:val="0"/>
    <w:qFormat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687">
    <w:name w:val="Normal (Web)"/>
    <w:basedOn w:val="654"/>
    <w:uiPriority w:val="99"/>
    <w:semiHidden/>
    <w:unhideWhenUsed/>
    <w:rPr>
      <w:sz w:val="24"/>
      <w:szCs w:val="24"/>
    </w:rPr>
  </w:style>
  <w:style w:type="paragraph" w:styleId="688">
    <w:name w:val="Subtitle"/>
    <w:link w:val="717"/>
    <w:uiPriority w:val="11"/>
    <w:qFormat/>
    <w:pPr>
      <w:spacing w:before="200" w:after="20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 w:val="24"/>
      <w:szCs w:val="24"/>
      <w:lang w:val="ru-RU" w:eastAsia="en-US" w:bidi="en-US"/>
    </w:rPr>
  </w:style>
  <w:style w:type="table" w:styleId="689">
    <w:name w:val="Table Grid"/>
    <w:basedOn w:val="665"/>
    <w:uiPriority w:val="0"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90" w:customStyle="1">
    <w:name w:val="Heading 1 Char"/>
    <w:basedOn w:val="664"/>
    <w:uiPriority w:val="9"/>
    <w:qFormat/>
    <w:rPr>
      <w:rFonts w:ascii="Arial" w:hAnsi="Arial" w:eastAsia="Arial" w:cs="Arial"/>
      <w:sz w:val="40"/>
      <w:szCs w:val="40"/>
    </w:rPr>
  </w:style>
  <w:style w:type="character" w:styleId="691" w:customStyle="1">
    <w:name w:val="Heading 2 Char"/>
    <w:basedOn w:val="664"/>
    <w:uiPriority w:val="9"/>
    <w:qFormat/>
    <w:rPr>
      <w:rFonts w:ascii="Arial" w:hAnsi="Arial" w:eastAsia="Arial" w:cs="Arial"/>
      <w:sz w:val="34"/>
    </w:rPr>
  </w:style>
  <w:style w:type="character" w:styleId="692" w:customStyle="1">
    <w:name w:val="Heading 3 Char"/>
    <w:basedOn w:val="664"/>
    <w:uiPriority w:val="9"/>
    <w:qFormat/>
    <w:rPr>
      <w:rFonts w:ascii="Arial" w:hAnsi="Arial" w:eastAsia="Arial" w:cs="Arial"/>
      <w:sz w:val="30"/>
      <w:szCs w:val="30"/>
    </w:rPr>
  </w:style>
  <w:style w:type="character" w:styleId="693" w:customStyle="1">
    <w:name w:val="Heading 4 Char"/>
    <w:basedOn w:val="66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94" w:customStyle="1">
    <w:name w:val="Heading 5 Char"/>
    <w:basedOn w:val="66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95" w:customStyle="1">
    <w:name w:val="Heading 6 Char"/>
    <w:basedOn w:val="66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96" w:customStyle="1">
    <w:name w:val="Heading 7 Char"/>
    <w:basedOn w:val="66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97" w:customStyle="1">
    <w:name w:val="Heading 8 Char"/>
    <w:basedOn w:val="66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98" w:customStyle="1">
    <w:name w:val="Heading 9 Char"/>
    <w:basedOn w:val="66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99" w:customStyle="1">
    <w:name w:val="Title Char"/>
    <w:basedOn w:val="664"/>
    <w:uiPriority w:val="10"/>
    <w:qFormat/>
    <w:rPr>
      <w:sz w:val="48"/>
      <w:szCs w:val="48"/>
    </w:rPr>
  </w:style>
  <w:style w:type="character" w:styleId="700" w:customStyle="1">
    <w:name w:val="Subtitle Char"/>
    <w:basedOn w:val="664"/>
    <w:uiPriority w:val="11"/>
    <w:qFormat/>
    <w:rPr>
      <w:sz w:val="24"/>
      <w:szCs w:val="24"/>
    </w:rPr>
  </w:style>
  <w:style w:type="character" w:styleId="701" w:customStyle="1">
    <w:name w:val="Quote Char"/>
    <w:uiPriority w:val="29"/>
    <w:qFormat/>
    <w:rPr>
      <w:i/>
    </w:rPr>
  </w:style>
  <w:style w:type="character" w:styleId="702" w:customStyle="1">
    <w:name w:val="Intense Quote Char"/>
    <w:uiPriority w:val="30"/>
    <w:qFormat/>
    <w:rPr>
      <w:i/>
    </w:rPr>
  </w:style>
  <w:style w:type="character" w:styleId="703" w:customStyle="1">
    <w:name w:val="Footnote Text Char"/>
    <w:uiPriority w:val="99"/>
    <w:qFormat/>
    <w:rPr>
      <w:sz w:val="18"/>
    </w:rPr>
  </w:style>
  <w:style w:type="character" w:styleId="704" w:customStyle="1">
    <w:name w:val="Endnote Text Char"/>
    <w:link w:val="671"/>
    <w:uiPriority w:val="99"/>
    <w:qFormat/>
    <w:rPr>
      <w:sz w:val="20"/>
    </w:rPr>
  </w:style>
  <w:style w:type="character" w:styleId="705" w:customStyle="1">
    <w:name w:val="Заголовок 1 Знак"/>
    <w:link w:val="655"/>
    <w:uiPriority w:val="9"/>
    <w:qFormat/>
    <w:rPr>
      <w:rFonts w:ascii="Arial" w:hAnsi="Arial" w:eastAsia="Arial" w:cs="Arial"/>
      <w:sz w:val="40"/>
      <w:szCs w:val="40"/>
    </w:rPr>
  </w:style>
  <w:style w:type="character" w:styleId="706" w:customStyle="1">
    <w:name w:val="Заголовок 2 Знак"/>
    <w:link w:val="656"/>
    <w:uiPriority w:val="9"/>
    <w:qFormat/>
    <w:rPr>
      <w:rFonts w:ascii="Arial" w:hAnsi="Arial" w:eastAsia="Arial" w:cs="Arial"/>
      <w:sz w:val="34"/>
    </w:rPr>
  </w:style>
  <w:style w:type="character" w:styleId="707" w:customStyle="1">
    <w:name w:val="Заголовок 3 Знак"/>
    <w:link w:val="657"/>
    <w:uiPriority w:val="9"/>
    <w:qFormat/>
    <w:rPr>
      <w:rFonts w:ascii="Arial" w:hAnsi="Arial" w:eastAsia="Arial" w:cs="Arial"/>
      <w:sz w:val="30"/>
      <w:szCs w:val="30"/>
    </w:rPr>
  </w:style>
  <w:style w:type="character" w:styleId="708" w:customStyle="1">
    <w:name w:val="Заголовок 4 Знак"/>
    <w:link w:val="65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09" w:customStyle="1">
    <w:name w:val="Заголовок 5 Знак"/>
    <w:link w:val="659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10" w:customStyle="1">
    <w:name w:val="Заголовок 6 Знак"/>
    <w:link w:val="660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1" w:customStyle="1">
    <w:name w:val="Заголовок 7 Знак"/>
    <w:link w:val="66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12" w:customStyle="1">
    <w:name w:val="Заголовок 8 Знак"/>
    <w:link w:val="66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13" w:customStyle="1">
    <w:name w:val="Заголовок 9 Знак"/>
    <w:link w:val="663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uiPriority w:val="34"/>
    <w:qFormat/>
    <w:pPr>
      <w:contextualSpacing/>
      <w:ind w:left="72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Cs w:val="22"/>
      <w:lang w:val="ru-RU" w:eastAsia="en-US" w:bidi="en-US"/>
    </w:rPr>
  </w:style>
  <w:style w:type="paragraph" w:styleId="715">
    <w:name w:val="No Spacing"/>
    <w:uiPriority w:val="1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Cs w:val="22"/>
      <w:lang w:val="ru-RU" w:eastAsia="en-US" w:bidi="en-US"/>
    </w:rPr>
  </w:style>
  <w:style w:type="character" w:styleId="716" w:customStyle="1">
    <w:name w:val="Название Знак"/>
    <w:link w:val="685"/>
    <w:uiPriority w:val="10"/>
    <w:qFormat/>
    <w:rPr>
      <w:sz w:val="48"/>
      <w:szCs w:val="48"/>
    </w:rPr>
  </w:style>
  <w:style w:type="character" w:styleId="717" w:customStyle="1">
    <w:name w:val="Подзаголовок Знак"/>
    <w:link w:val="688"/>
    <w:uiPriority w:val="11"/>
    <w:qFormat/>
    <w:rPr>
      <w:sz w:val="24"/>
      <w:szCs w:val="24"/>
    </w:rPr>
  </w:style>
  <w:style w:type="paragraph" w:styleId="718">
    <w:name w:val="Quote"/>
    <w:link w:val="719"/>
    <w:uiPriority w:val="29"/>
    <w:qFormat/>
    <w:pPr>
      <w:ind w:left="720" w:right="72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i/>
      <w:szCs w:val="22"/>
      <w:lang w:val="ru-RU" w:eastAsia="en-US" w:bidi="en-US"/>
    </w:rPr>
  </w:style>
  <w:style w:type="character" w:styleId="719" w:customStyle="1">
    <w:name w:val="Цитата 2 Знак"/>
    <w:link w:val="718"/>
    <w:uiPriority w:val="29"/>
    <w:qFormat/>
    <w:rPr>
      <w:i/>
    </w:rPr>
  </w:style>
  <w:style w:type="paragraph" w:styleId="720">
    <w:name w:val="Intense Quote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0" w:space="0"/>
      </w:pBdr>
    </w:pPr>
    <w:rPr>
      <w:rFonts w:hint="default" w:ascii="Calibri" w:hAnsi="Calibri" w:eastAsia="Calibri" w:cs="Times New Roman"/>
      <w:i/>
      <w:szCs w:val="22"/>
      <w:lang w:val="ru-RU" w:eastAsia="en-US" w:bidi="en-US"/>
    </w:rPr>
  </w:style>
  <w:style w:type="character" w:styleId="721" w:customStyle="1">
    <w:name w:val="Выделенная цитата Знак"/>
    <w:link w:val="720"/>
    <w:uiPriority w:val="30"/>
    <w:qFormat/>
    <w:rPr>
      <w:i/>
    </w:rPr>
  </w:style>
  <w:style w:type="character" w:styleId="722" w:customStyle="1">
    <w:name w:val="Header Char"/>
    <w:uiPriority w:val="99"/>
    <w:qFormat/>
  </w:style>
  <w:style w:type="character" w:styleId="723" w:customStyle="1">
    <w:name w:val="Footer Char"/>
    <w:uiPriority w:val="99"/>
    <w:qFormat/>
  </w:style>
  <w:style w:type="character" w:styleId="724" w:customStyle="1">
    <w:name w:val="Caption Char"/>
    <w:uiPriority w:val="99"/>
    <w:qFormat/>
  </w:style>
  <w:style w:type="table" w:styleId="725" w:customStyle="1">
    <w:name w:val="Table Grid Light"/>
    <w:uiPriority w:val="5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 w:customStyle="1">
    <w:name w:val="Plain Table 1"/>
    <w:uiPriority w:val="5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 w:customStyle="1">
    <w:name w:val="Plain Table 2"/>
    <w:uiPriority w:val="5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 w:customStyle="1">
    <w:name w:val="Plain Table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Plain Table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Plain Table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Grid Table 1 Light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Grid Table 1 Light 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Grid Table 1 Light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1 Light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1 Light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1 Light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1 Light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2 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2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2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2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2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2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3 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3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3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3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3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3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4"/>
    <w:uiPriority w:val="5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4 - Accent 1"/>
    <w:uiPriority w:val="5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4 - Accent 2"/>
    <w:uiPriority w:val="5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4 - Accent 3"/>
    <w:uiPriority w:val="5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4 - Accent 4"/>
    <w:uiPriority w:val="5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4 - Accent 5"/>
    <w:uiPriority w:val="5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4 - Accent 6"/>
    <w:uiPriority w:val="5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5 Dark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5 Dark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5 Dark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5 Dark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5 Dark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5 Dark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5 Dark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6 Colorful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6 Colorful 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6 Colorful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6 Colorful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6 Colorful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6 Colorful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6 Colorful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7 Colorful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7 Colorful 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7 Colorful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7 Colorful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7 Colorful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7 Colorful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7 Colorful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List Table 1 Light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List Table 1 Light 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List Table 1 Light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1 Light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1 Light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1 Light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1 Light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2 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2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2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2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2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2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3 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3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3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3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3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3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4 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4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4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4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4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4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5 Dark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5 Dark 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5 Dark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5 Dark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5 Dark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5 Dark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5 Dark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6 Colorful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6 Colorful 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6 Colorful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6 Colorful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6 Colorful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6 Colorful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6 Colorful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7 Colorful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7 Colorful 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7 Colorful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7 Colorful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7 Colorful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7 Colorful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7 Colorful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ned - Accent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ned - Accent 1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ned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ned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ned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ned - Accent 5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ned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Bordered &amp; Lined - Accent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Bordered &amp; Lined - Accent 1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Bordered &amp; Lined - Accent 2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Bordered &amp; Lined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Bordered &amp; Lined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Bordered &amp; Lined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Bordered &amp; Lined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404040"/>
    </w:rPr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Bordered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Bordered - Accent 1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Bordered - Accent 2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Bordered - Accent 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Bordered - Accent 4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Bordered - Accent 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Bordered - Accent 6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Cs w:val="22"/>
      <w:lang w:eastAsia="en-US" w:bidi="en-US"/>
    </w:r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50" w:customStyle="1">
    <w:name w:val="Текст сноски Знак"/>
    <w:link w:val="673"/>
    <w:uiPriority w:val="99"/>
    <w:qFormat/>
    <w:rPr>
      <w:sz w:val="18"/>
    </w:rPr>
  </w:style>
  <w:style w:type="paragraph" w:styleId="851" w:customStyle="1">
    <w:name w:val="TOC Heading"/>
    <w:uiPriority w:val="39"/>
    <w:unhideWhenUsed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Calibri" w:cs="Times New Roman"/>
      <w:szCs w:val="22"/>
      <w:lang w:val="ru-RU" w:eastAsia="en-US" w:bidi="en-US"/>
    </w:rPr>
  </w:style>
  <w:style w:type="character" w:styleId="852" w:customStyle="1">
    <w:name w:val="Текст выноски Знак"/>
    <w:link w:val="670"/>
    <w:uiPriority w:val="0"/>
    <w:semiHidden/>
    <w:qFormat/>
    <w:rPr>
      <w:rFonts w:ascii="Segoe UI" w:hAnsi="Segoe UI"/>
      <w:sz w:val="18"/>
      <w:szCs w:val="18"/>
    </w:rPr>
  </w:style>
  <w:style w:type="paragraph" w:styleId="853" w:customStyle="1">
    <w:name w:val="ConsPlusNormal"/>
    <w:link w:val="856"/>
    <w:uiPriority w:val="0"/>
    <w:qFormat/>
    <w:pPr>
      <w:widowControl w:val="off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alibri" w:hAnsi="Calibri" w:eastAsia="Times New Roman" w:cs="Times New Roman"/>
      <w:sz w:val="22"/>
      <w:szCs w:val="22"/>
      <w:lang w:val="ru-RU" w:eastAsia="ru-RU" w:bidi="ar-SA"/>
    </w:rPr>
  </w:style>
  <w:style w:type="character" w:styleId="854" w:customStyle="1">
    <w:name w:val="Верхний колонтитул Знак"/>
    <w:link w:val="675"/>
    <w:uiPriority w:val="0"/>
    <w:qFormat/>
    <w:rPr>
      <w:sz w:val="22"/>
      <w:szCs w:val="22"/>
      <w:lang w:eastAsia="en-US"/>
    </w:rPr>
  </w:style>
  <w:style w:type="character" w:styleId="855" w:customStyle="1">
    <w:name w:val="Нижний колонтитул Знак"/>
    <w:link w:val="686"/>
    <w:uiPriority w:val="0"/>
    <w:qFormat/>
    <w:rPr>
      <w:sz w:val="22"/>
      <w:szCs w:val="22"/>
      <w:lang w:eastAsia="en-US"/>
    </w:rPr>
  </w:style>
  <w:style w:type="character" w:styleId="856" w:customStyle="1">
    <w:name w:val="ConsPlusNormal Знак"/>
    <w:link w:val="853"/>
    <w:uiPriority w:val="0"/>
    <w:qFormat/>
    <w:rPr>
      <w:rFonts w:eastAsia="Times New Roman"/>
      <w:sz w:val="22"/>
      <w:lang w:bidi="ar-SA"/>
    </w:rPr>
  </w:style>
  <w:style w:type="paragraph" w:styleId="857" w:customStyle="1">
    <w:name w:val="Default"/>
    <w:uiPriority w:val="0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858" w:customStyle="1">
    <w:name w:val="Style5"/>
    <w:basedOn w:val="654"/>
    <w:uiPriority w:val="0"/>
    <w:qFormat/>
    <w:pPr>
      <w:ind w:hanging="346"/>
      <w:spacing w:line="317" w:lineRule="exact"/>
      <w:widowControl w:val="off"/>
    </w:pPr>
    <w:rPr>
      <w:sz w:val="24"/>
    </w:rPr>
  </w:style>
  <w:style w:type="numbering" w:styleId="85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FFFFFF"/>
        </a:solidFill>
        <a:solidFill>
          <a:srgbClr val="FFFFFF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revision>6</cp:revision>
  <dcterms:created xsi:type="dcterms:W3CDTF">2021-11-19T10:07:00Z</dcterms:created>
  <dcterms:modified xsi:type="dcterms:W3CDTF">2026-08-21T05:01:41Z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