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Белгородской области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 w:eastAsia="zh-CN"/>
        </w:rPr>
        <w:t xml:space="preserve">О внесении изменений в постановление Правительства </w:t>
      </w:r>
      <w:r>
        <w:rPr>
          <w:rFonts w:ascii="Times New Roman" w:hAnsi="Times New Roman" w:cs="Times New Roman"/>
          <w:b/>
          <w:sz w:val="28"/>
          <w:szCs w:val="28"/>
          <w:lang w:val="en-US" w:eastAsia="zh-CN"/>
        </w:rPr>
        <w:br w:type="textWrapping" w:clear="all"/>
      </w:r>
      <w:r>
        <w:rPr>
          <w:rFonts w:ascii="Times New Roman" w:hAnsi="Times New Roman" w:cs="Times New Roman"/>
          <w:b/>
          <w:sz w:val="28"/>
          <w:szCs w:val="28"/>
          <w:lang w:val="en-US" w:eastAsia="zh-CN"/>
        </w:rPr>
        <w:t>Белгородской области от 28 февраля 2011 года № 71-пп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09"/>
        <w:jc w:val="both"/>
        <w:textAlignment w:val="auto"/>
        <w:rPr>
          <w:rFonts w:ascii="Times New Roman" w:hAnsi="Times New Roman" w:eastAsia="SimSu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88" w:lineRule="auto"/>
        <w:ind w:left="0" w:right="0" w:firstLine="0"/>
        <w:jc w:val="both"/>
        <w:textAlignment w:val="auto"/>
        <w:rPr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zh-CN"/>
        </w:rPr>
        <w:t xml:space="preserve">          Представленный проект постановления Правительства Белгородской области разработан в целях приведения постановления Правительства Белгородской области от 28 февраля 2011 года № 71-пп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zh-CN"/>
        </w:rPr>
        <w:t>«Об определении порядка разработки и утверждения органами местного самоуправления муниципальных районов, муниципальных и городских округов схем размещения нестационарных торговых объектов» в соответствие                                 с положениями</w:t>
      </w:r>
      <w:r>
        <w:rPr>
          <w:rFonts w:ascii="Times New Roman" w:hAnsi="Times New Roman" w:eastAsia="SimSun" w:cs="Times New Roman"/>
          <w:sz w:val="28"/>
          <w:szCs w:val="28"/>
          <w:lang w:val="ru-RU" w:eastAsia="zh-CN"/>
        </w:rPr>
        <w:t xml:space="preserve"> Федерального закона от 30 января 2026 года № 14-ФЗ </w:t>
      </w:r>
      <w:r>
        <w:rPr>
          <w:rFonts w:hint="default" w:cs="Times New Roman"/>
          <w:sz w:val="28"/>
          <w:szCs w:val="28"/>
          <w:lang w:val="ru-RU" w:eastAsia="zh-CN"/>
        </w:rPr>
        <w:t xml:space="preserve">             </w:t>
      </w:r>
      <w:r>
        <w:rPr>
          <w:rFonts w:ascii="Times New Roman" w:hAnsi="Times New Roman" w:eastAsia="SimSun" w:cs="Times New Roman"/>
          <w:sz w:val="28"/>
          <w:szCs w:val="28"/>
          <w:lang w:val="ru-RU" w:eastAsia="zh-CN"/>
        </w:rPr>
        <w:t xml:space="preserve">«О внесении изменений в Федеральный закон «Об основах государственного регулирования торговой деятельности в Российской Федерации», законом Белгородской области 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20 декабря 2004 года № 159 «Об установлении границ муниципальных образований и наделении их статусом городского округа, муниципального округа».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Проектом постановления Порядок 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 w:eastAsia="zh-CN"/>
        </w:rPr>
        <w:t>разработки и утверждения органами местного самоуправления муниципальных и городских округов схем размещения нестационарных торговых объектов утверждается в новой редакции, в то числе в него вносятся изменения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 части: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>- </w:t>
      </w:r>
      <w:r>
        <w:rPr>
          <w:rFonts w:ascii="Times New Roman" w:hAnsi="Times New Roman" w:cs="Times New Roman"/>
          <w:sz w:val="28"/>
          <w:szCs w:val="28"/>
          <w:highlight w:val="none"/>
        </w:rPr>
        <w:t>введения понятия «мобильн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торгов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>а» 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особенностей </w:t>
      </w:r>
      <w:r>
        <w:rPr>
          <w:rFonts w:hint="default" w:cs="Times New Roman"/>
          <w:sz w:val="28"/>
          <w:szCs w:val="28"/>
          <w:highlight w:val="none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>его размещения</w:t>
      </w:r>
      <w:r>
        <w:rPr>
          <w:rFonts w:ascii="Times New Roman" w:hAnsi="Times New Roman" w:cs="Times New Roman"/>
          <w:sz w:val="28"/>
          <w:szCs w:val="28"/>
          <w:highlight w:val="none"/>
        </w:rP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09"/>
        <w:jc w:val="both"/>
        <w:textAlignment w:val="auto"/>
        <w:rPr>
          <w:rFonts w:ascii="Times New Roman" w:hAnsi="Times New Roman" w:eastAsia="SimSun" w:cs="Times New Roman"/>
          <w:sz w:val="28"/>
          <w:szCs w:val="28"/>
          <w:highlight w:val="none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/>
        </w:rPr>
        <w:t xml:space="preserve">- </w:t>
      </w:r>
      <w:r>
        <w:rPr>
          <w:rFonts w:ascii="Times New Roman" w:hAnsi="Times New Roman" w:eastAsia="SimSun" w:cs="Times New Roman"/>
          <w:sz w:val="28"/>
          <w:szCs w:val="28"/>
          <w:highlight w:val="none"/>
        </w:rPr>
        <w:t xml:space="preserve">установления процедуры включения в схему размещения нестационарных торговых объектов на частных земельных участках </w:t>
      </w:r>
      <w:r>
        <w:rPr>
          <w:rFonts w:hint="default" w:cs="Times New Roman"/>
          <w:sz w:val="28"/>
          <w:szCs w:val="28"/>
          <w:highlight w:val="none"/>
          <w:lang w:val="ru-RU"/>
        </w:rPr>
        <w:t xml:space="preserve">                </w:t>
      </w:r>
      <w:r>
        <w:rPr>
          <w:rFonts w:ascii="Times New Roman" w:hAnsi="Times New Roman" w:eastAsia="SimSun" w:cs="Times New Roman"/>
          <w:sz w:val="28"/>
          <w:szCs w:val="28"/>
          <w:highlight w:val="none"/>
        </w:rPr>
        <w:t>и исчерпывающих оснований для отказа во  включении в схему размещения;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0"/>
        <w:jc w:val="both"/>
        <w:textAlignment w:val="auto"/>
        <w:rPr>
          <w:rFonts w:ascii="Times New Roman" w:hAnsi="Times New Roman" w:eastAsia="SimSun" w:cs="Times New Roman"/>
          <w:sz w:val="28"/>
          <w:szCs w:val="28"/>
          <w:highlight w:val="none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>-</w:t>
      </w:r>
      <w:r>
        <w:rPr>
          <w:rFonts w:hint="default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</w:rPr>
        <w:t>приведение в соответствие в части названий муниципальных образований;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0"/>
        <w:jc w:val="both"/>
        <w:textAlignment w:val="auto"/>
        <w:rPr>
          <w:rFonts w:ascii="Times New Roman" w:hAnsi="Times New Roman" w:eastAsia="SimSun" w:cs="Times New Roman"/>
          <w:sz w:val="28"/>
          <w:szCs w:val="28"/>
          <w:highlight w:val="none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>-</w:t>
      </w:r>
      <w:r>
        <w:rPr>
          <w:rFonts w:ascii="Times New Roman" w:hAnsi="Times New Roman" w:eastAsia="SimSun" w:cs="Times New Roman"/>
          <w:sz w:val="28"/>
          <w:szCs w:val="28"/>
          <w:highlight w:val="none"/>
        </w:rPr>
        <w:t xml:space="preserve"> утверждения форм заявлений о включении и исключении нестационарных торговых объектов в схему размещения, а также форм согласия на обработ</w:t>
      </w:r>
      <w:bookmarkStart w:id="0" w:name="_GoBack"/>
      <w:bookmarkEnd w:id="0"/>
      <w:r>
        <w:rPr>
          <w:rFonts w:ascii="Times New Roman" w:hAnsi="Times New Roman" w:eastAsia="SimSun" w:cs="Times New Roman"/>
          <w:sz w:val="28"/>
          <w:szCs w:val="28"/>
          <w:highlight w:val="none"/>
        </w:rPr>
        <w:t>ку персональных данных.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0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zh-CN"/>
        </w:rPr>
        <w:t xml:space="preserve">        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  <w:lang w:val="en-US" w:eastAsia="zh-CN"/>
        </w:rPr>
        <w:t xml:space="preserve">Принятие проекта постановления не повлечет необходимости внесения изменений в иные правовые акты или признания их утратившими силу, </w:t>
      </w:r>
      <w:r>
        <w:rPr>
          <w:rFonts w:hint="default" w:cs="Times New Roman"/>
          <w:color w:val="000000"/>
          <w:sz w:val="28"/>
          <w:szCs w:val="28"/>
          <w:highlight w:val="none"/>
          <w:lang w:val="ru-RU" w:eastAsia="zh-CN"/>
        </w:rPr>
        <w:t xml:space="preserve">           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  <w:lang w:val="en-US" w:eastAsia="zh-CN"/>
        </w:rPr>
        <w:t>а также не потребует  средств областного бюджета Белгородской области.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08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  <w:lang w:val="en-US" w:eastAsia="zh-CN"/>
        </w:rPr>
        <w:t>Проект постановления прошел следующие</w:t>
      </w:r>
      <w:r>
        <w:rPr>
          <w:rFonts w:hint="default" w:cs="Times New Roman"/>
          <w:color w:val="000000"/>
          <w:sz w:val="28"/>
          <w:szCs w:val="28"/>
          <w:highlight w:val="none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  <w:lang w:val="en-US" w:eastAsia="zh-CN"/>
        </w:rPr>
        <w:t>процедуры:</w:t>
      </w:r>
      <w:r>
        <w:rPr>
          <w:rFonts w:hint="default" w:cs="Times New Roman"/>
          <w:color w:val="000000"/>
          <w:sz w:val="28"/>
          <w:szCs w:val="28"/>
          <w:highlight w:val="none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  <w:lang w:val="en-US" w:eastAsia="zh-CN"/>
        </w:rPr>
        <w:t>оценку соответствия требованиям антимонопольного</w:t>
      </w:r>
      <w:r>
        <w:rPr>
          <w:rFonts w:hint="default" w:cs="Times New Roman"/>
          <w:color w:val="000000"/>
          <w:sz w:val="28"/>
          <w:szCs w:val="28"/>
          <w:highlight w:val="none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  <w:lang w:val="en-US" w:eastAsia="zh-CN"/>
        </w:rPr>
        <w:t xml:space="preserve">законодательства, независимую антикоррупционную экспертизу </w:t>
      </w:r>
      <w:r>
        <w:rPr>
          <w:rFonts w:hint="default" w:cs="Times New Roman"/>
          <w:color w:val="000000"/>
          <w:sz w:val="28"/>
          <w:szCs w:val="28"/>
          <w:highlight w:val="none"/>
          <w:lang w:val="ru-RU" w:eastAsia="zh-CN"/>
        </w:rPr>
        <w:t xml:space="preserve">                       </w:t>
      </w:r>
      <w:r>
        <w:rPr>
          <w:rFonts w:hint="default" w:ascii="Times New Roman" w:hAnsi="Times New Roman" w:cs="Times New Roman"/>
          <w:color w:val="000000"/>
          <w:sz w:val="28"/>
          <w:szCs w:val="28"/>
          <w:highlight w:val="none"/>
          <w:lang w:val="en-US" w:eastAsia="zh-CN"/>
        </w:rPr>
        <w:t>и согласование с прокуратурой Белгородской области. Замечания отсутствуют.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10100" w:type="dxa"/>
        <w:tblInd w:w="-46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4"/>
        <w:gridCol w:w="4956"/>
      </w:tblGrid>
      <w:tr>
        <w:tc>
          <w:tcPr>
            <w:tcW w:w="51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right="21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Первый заместитель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right="210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министра сельского хозяйства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 w:type="textWrapping" w:clear="all"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продовольствия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Белгородской области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both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right"/>
              <w:textAlignment w:val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А.Н. Цапков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/>
        <w:jc w:val="both"/>
        <w:textAlignment w:val="auto"/>
        <w:rPr>
          <w:sz w:val="28"/>
          <w:szCs w:val="28"/>
        </w:rPr>
      </w:pPr>
    </w:p>
    <w:sectPr>
      <w:pgSz w:w="11906" w:h="16838"/>
      <w:pgMar w:top="1134" w:right="680" w:bottom="1134" w:left="1701" w:header="709" w:footer="709" w:gutter="0"/>
      <w:cols w:space="1701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altName w:val="Times New Roman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auto"/>
    <w:pitch w:val="default"/>
    <w:sig w:usb0="800022EF" w:usb1="C000205A" w:usb2="00000008" w:usb3="00000000" w:csb0="20000057" w:csb1="0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DFFDCF53"/>
    <w:rsid w:val="E7B9F2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link w:val="188"/>
    <w:qFormat/>
    <w:uiPriority w:val="0"/>
    <w:rPr>
      <w:rFonts w:hint="default" w:ascii="Times New Roman" w:hAnsi="Times New Roman" w:eastAsia="SimSun" w:cs="Times New Roman"/>
      <w:lang w:val="ru-RU" w:eastAsia="ru-RU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unhideWhenUsed/>
    <w:qFormat/>
    <w:uiPriority w:val="99"/>
    <w:rPr>
      <w:vertAlign w:val="superscript"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link w:val="53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23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27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8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9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30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2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Heading 1 Char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SimSun" w:cs="Times New Roman"/>
    </w:rPr>
  </w:style>
  <w:style w:type="character" w:customStyle="1" w:styleId="45">
    <w:name w:val="Title Char"/>
    <w:link w:val="30"/>
    <w:qFormat/>
    <w:uiPriority w:val="10"/>
    <w:rPr>
      <w:sz w:val="48"/>
      <w:szCs w:val="48"/>
    </w:rPr>
  </w:style>
  <w:style w:type="character" w:customStyle="1" w:styleId="46">
    <w:name w:val="Subtitle Char"/>
    <w:link w:val="32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link w:val="20"/>
    <w:qFormat/>
    <w:uiPriority w:val="99"/>
  </w:style>
  <w:style w:type="character" w:customStyle="1" w:styleId="52">
    <w:name w:val="Footer Char"/>
    <w:link w:val="31"/>
    <w:qFormat/>
    <w:uiPriority w:val="99"/>
  </w:style>
  <w:style w:type="character" w:customStyle="1" w:styleId="53">
    <w:name w:val="Caption Char"/>
    <w:link w:val="17"/>
    <w:qFormat/>
    <w:uiPriority w:val="35"/>
    <w:rPr>
      <w:b/>
      <w:bCs/>
      <w:color w:val="4F81BD" w:themeColor="accent1"/>
      <w:sz w:val="18"/>
      <w:szCs w:val="18"/>
    </w:rPr>
  </w:style>
  <w:style w:type="table" w:customStyle="1" w:styleId="54">
    <w:name w:val="Table Grid Light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6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7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8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9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0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2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3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4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5">
    <w:name w:val="Grid Table 7 Colorful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6">
    <w:name w:val="Grid Table 7 Colorful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7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8">
    <w:name w:val="Grid Table 7 Colorful - Accent 6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9">
    <w:name w:val="List Table 1 Light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5">
    <w:name w:val="List Table 6 Colorful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6">
    <w:name w:val="List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7">
    <w:name w:val="List Table 6 Colorful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8">
    <w:name w:val="List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9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0">
    <w:name w:val="List Table 6 Colorful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1">
    <w:name w:val="List Table 7 Colorful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2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3">
    <w:name w:val="List Table 7 Colorful - Accent 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4">
    <w:name w:val="List Table 7 Colorful - Accent 3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5">
    <w:name w:val="List Table 7 Colorful - Accent 4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6">
    <w:name w:val="List Table 7 Colorful - Accent 5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7">
    <w:name w:val="List Table 7 Colorful - Accent 6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8">
    <w:name w:val="Lined - Accent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Footnote Text Char"/>
    <w:link w:val="18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SimSun" w:cs="Times New Roman"/>
    </w:rPr>
  </w:style>
  <w:style w:type="character" w:customStyle="1" w:styleId="182">
    <w:name w:val="Основной шрифт абзаца1"/>
    <w:link w:val="1"/>
    <w:semiHidden/>
    <w:qFormat/>
    <w:uiPriority w:val="0"/>
  </w:style>
  <w:style w:type="table" w:customStyle="1" w:styleId="183">
    <w:name w:val="Обычная таблица1"/>
    <w:semiHidden/>
    <w:qFormat/>
    <w:uiPriority w:val="0"/>
  </w:style>
  <w:style w:type="paragraph" w:customStyle="1" w:styleId="184">
    <w:name w:val="Текст выноски1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185">
    <w:name w:val="Основной текст 21"/>
    <w:basedOn w:val="1"/>
    <w:qFormat/>
    <w:uiPriority w:val="0"/>
    <w:pPr>
      <w:jc w:val="both"/>
    </w:pPr>
    <w:rPr>
      <w:b/>
      <w:bCs/>
      <w:sz w:val="28"/>
      <w:szCs w:val="24"/>
    </w:rPr>
  </w:style>
  <w:style w:type="paragraph" w:customStyle="1" w:styleId="186">
    <w:name w:val="Обычный (веб)1"/>
    <w:basedOn w:val="1"/>
    <w:qFormat/>
    <w:uiPriority w:val="0"/>
    <w:rPr>
      <w:sz w:val="24"/>
      <w:szCs w:val="24"/>
    </w:rPr>
  </w:style>
  <w:style w:type="table" w:customStyle="1" w:styleId="187">
    <w:name w:val="Сетка таблицы1"/>
    <w:basedOn w:val="183"/>
    <w:qFormat/>
    <w:uiPriority w:val="0"/>
  </w:style>
  <w:style w:type="character" w:customStyle="1" w:styleId="188">
    <w:name w:val="docaccess_title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</Template>
  <Company>1</Company>
  <TotalTime>0</TotalTime>
  <ScaleCrop>false</ScaleCrop>
  <LinksUpToDate>false</LinksUpToDate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2021-12-02T17:09:00Z</dcterms:created>
  <dc:creator>1</dc:creator>
  <cp:lastModifiedBy>medvedeva</cp:lastModifiedBy>
  <dcterms:modified xsi:type="dcterms:W3CDTF">2026-08-19T12:30:31Z</dcterms:modified>
  <dc:title>Пояснительн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